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ind w:left="0" w:leftChars="0" w:firstLine="0" w:firstLineChars="0"/>
      </w:pPr>
    </w:p>
    <w:p>
      <w:pPr>
        <w:pStyle w:val="24"/>
        <w:jc w:val="both"/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</w:rPr>
        <w:t>附件1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highlight w:val="none"/>
        </w:rPr>
      </w:pPr>
    </w:p>
    <w:p>
      <w:pPr>
        <w:pStyle w:val="24"/>
        <w:rPr>
          <w:rFonts w:ascii="Times New Roman" w:hAnsi="Times New Roman" w:cs="Times New Roman"/>
          <w:color w:val="auto"/>
          <w:szCs w:val="44"/>
          <w:highlight w:val="none"/>
        </w:rPr>
      </w:pPr>
      <w:bookmarkStart w:id="0" w:name="_GoBack"/>
      <w:r>
        <w:rPr>
          <w:rFonts w:ascii="Times New Roman" w:hAnsi="Times New Roman" w:cs="Times New Roman"/>
          <w:color w:val="auto"/>
          <w:szCs w:val="44"/>
          <w:highlight w:val="none"/>
        </w:rPr>
        <w:t>山东省数据开放创新应用实验室（第</w:t>
      </w:r>
      <w:r>
        <w:rPr>
          <w:rFonts w:hint="eastAsia" w:ascii="Times New Roman" w:hAnsi="Times New Roman" w:cs="Times New Roman"/>
          <w:color w:val="auto"/>
          <w:szCs w:val="44"/>
          <w:highlight w:val="none"/>
          <w:lang w:val="en-US" w:eastAsia="zh-CN"/>
        </w:rPr>
        <w:t>三</w:t>
      </w:r>
      <w:r>
        <w:rPr>
          <w:rFonts w:ascii="Times New Roman" w:hAnsi="Times New Roman" w:cs="Times New Roman"/>
          <w:color w:val="auto"/>
          <w:szCs w:val="44"/>
          <w:highlight w:val="none"/>
        </w:rPr>
        <w:t>批）</w:t>
      </w:r>
    </w:p>
    <w:p>
      <w:pPr>
        <w:pStyle w:val="24"/>
        <w:rPr>
          <w:rStyle w:val="16"/>
          <w:rFonts w:ascii="Times New Roman" w:hAnsi="Times New Roman" w:cs="Times New Roman"/>
          <w:bCs/>
          <w:color w:val="auto"/>
          <w:szCs w:val="4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auto"/>
          <w:szCs w:val="44"/>
          <w:highlight w:val="none"/>
        </w:rPr>
        <w:t>申报指南</w:t>
      </w:r>
    </w:p>
    <w:bookmarkEnd w:id="0"/>
    <w:p>
      <w:pPr>
        <w:pStyle w:val="31"/>
        <w:ind w:firstLine="643"/>
        <w:rPr>
          <w:rStyle w:val="16"/>
          <w:rFonts w:ascii="Times New Roman" w:hAnsi="Times New Roman" w:eastAsia="仿宋_GB2312" w:cs="Times New Roman"/>
          <w:b/>
          <w:bCs/>
          <w:color w:val="auto"/>
          <w:szCs w:val="32"/>
          <w:highlight w:val="none"/>
          <w:shd w:val="clear" w:color="auto" w:fill="FFFFFF"/>
        </w:rPr>
      </w:pPr>
    </w:p>
    <w:p>
      <w:pPr>
        <w:pStyle w:val="31"/>
        <w:ind w:firstLine="640"/>
        <w:rPr>
          <w:rStyle w:val="16"/>
          <w:rFonts w:ascii="Times New Roman" w:hAnsi="Times New Roman" w:eastAsia="黑体" w:cs="Times New Roman"/>
          <w:b w:val="0"/>
          <w:color w:val="auto"/>
          <w:szCs w:val="32"/>
          <w:highlight w:val="none"/>
          <w:shd w:val="clear" w:color="auto" w:fill="FFFFFF"/>
        </w:rPr>
      </w:pPr>
      <w:r>
        <w:rPr>
          <w:rStyle w:val="16"/>
          <w:rFonts w:ascii="Times New Roman" w:hAnsi="Times New Roman" w:eastAsia="黑体" w:cs="Times New Roman"/>
          <w:b w:val="0"/>
          <w:color w:val="auto"/>
          <w:szCs w:val="32"/>
          <w:highlight w:val="none"/>
          <w:shd w:val="clear" w:color="auto" w:fill="FFFFFF"/>
        </w:rPr>
        <w:t>一、申报主体和方向</w:t>
      </w:r>
    </w:p>
    <w:p>
      <w:pPr>
        <w:pStyle w:val="19"/>
        <w:ind w:firstLine="640"/>
        <w:rPr>
          <w:rFonts w:ascii="Times New Roman" w:hAnsi="Times New Roman" w:eastAsia="楷体_GB2312" w:cs="Times New Roman"/>
          <w:color w:val="auto"/>
          <w:szCs w:val="32"/>
          <w:highlight w:val="none"/>
        </w:rPr>
      </w:pPr>
      <w:r>
        <w:rPr>
          <w:rFonts w:ascii="Times New Roman" w:hAnsi="Times New Roman" w:eastAsia="楷体_GB2312" w:cs="Times New Roman"/>
          <w:color w:val="auto"/>
          <w:szCs w:val="32"/>
          <w:highlight w:val="none"/>
        </w:rPr>
        <w:t>（一）申报主体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注册地和主要办公场所设在山东省辖区内，具有数据开放相关领域研究能力</w:t>
      </w:r>
      <w:r>
        <w:rPr>
          <w:rFonts w:hint="eastAsia" w:ascii="Times New Roman" w:hAnsi="Times New Roman" w:cs="Times New Roman"/>
          <w:color w:val="auto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color w:val="auto"/>
          <w:szCs w:val="32"/>
          <w:highlight w:val="none"/>
          <w:lang w:val="en-US" w:eastAsia="zh-CN"/>
        </w:rPr>
        <w:t>创新能力</w:t>
      </w:r>
      <w:r>
        <w:rPr>
          <w:rFonts w:ascii="Times New Roman" w:hAnsi="Times New Roman" w:cs="Times New Roman"/>
          <w:color w:val="auto"/>
          <w:szCs w:val="32"/>
          <w:highlight w:val="none"/>
        </w:rPr>
        <w:t>的相关企事业单位或社会组织。</w:t>
      </w:r>
    </w:p>
    <w:p>
      <w:pPr>
        <w:pStyle w:val="19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b/>
          <w:bCs w:val="0"/>
          <w:color w:val="auto"/>
          <w:szCs w:val="32"/>
          <w:highlight w:val="none"/>
        </w:rPr>
        <w:t>鼓励上述单位与省</w:t>
      </w:r>
      <w:r>
        <w:rPr>
          <w:rFonts w:hint="eastAsia" w:ascii="Times New Roman" w:hAnsi="Times New Roman" w:cs="Times New Roman"/>
          <w:b/>
          <w:bCs w:val="0"/>
          <w:color w:val="auto"/>
          <w:szCs w:val="32"/>
          <w:highlight w:val="none"/>
          <w:lang w:val="en-US" w:eastAsia="zh-CN"/>
        </w:rPr>
        <w:t>内</w:t>
      </w:r>
      <w:r>
        <w:rPr>
          <w:rFonts w:ascii="Times New Roman" w:hAnsi="Times New Roman" w:cs="Times New Roman"/>
          <w:b/>
          <w:bCs w:val="0"/>
          <w:color w:val="auto"/>
          <w:szCs w:val="32"/>
          <w:highlight w:val="none"/>
        </w:rPr>
        <w:t>外具有较强数据开放应用研究能力的各类高水平机构联合申报</w:t>
      </w:r>
      <w:r>
        <w:rPr>
          <w:rFonts w:hint="eastAsia" w:ascii="Times New Roman" w:hAnsi="Times New Roman" w:cs="Times New Roman"/>
          <w:b/>
          <w:bCs w:val="0"/>
          <w:color w:val="auto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/>
          <w:bCs w:val="0"/>
          <w:color w:val="auto"/>
          <w:szCs w:val="32"/>
          <w:highlight w:val="none"/>
          <w:lang w:val="en-US" w:eastAsia="zh-CN"/>
        </w:rPr>
        <w:t>联合建设单位数量不超过3个</w:t>
      </w:r>
      <w:r>
        <w:rPr>
          <w:rFonts w:ascii="Times New Roman" w:hAnsi="Times New Roman" w:cs="Times New Roman"/>
          <w:b/>
          <w:bCs w:val="0"/>
          <w:color w:val="auto"/>
          <w:szCs w:val="32"/>
          <w:highlight w:val="none"/>
        </w:rPr>
        <w:t>。</w:t>
      </w:r>
    </w:p>
    <w:p>
      <w:pPr>
        <w:pStyle w:val="19"/>
        <w:ind w:firstLine="640"/>
        <w:rPr>
          <w:rFonts w:ascii="Times New Roman" w:hAnsi="Times New Roman" w:eastAsia="楷体_GB2312" w:cs="Times New Roman"/>
          <w:color w:val="auto"/>
          <w:szCs w:val="32"/>
          <w:highlight w:val="none"/>
        </w:rPr>
      </w:pPr>
      <w:r>
        <w:rPr>
          <w:rFonts w:ascii="Times New Roman" w:hAnsi="Times New Roman" w:eastAsia="楷体_GB2312" w:cs="Times New Roman"/>
          <w:color w:val="auto"/>
          <w:szCs w:val="32"/>
          <w:highlight w:val="none"/>
        </w:rPr>
        <w:t>（二）申报方向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数据开放应用创新。围绕社会热点难点问题，基于公共数据、社会数据和个人数据等，开展融合创新应用研究，以数据赋能社会经济高质量发展、优化公共服务流程，突出应用示范作用，推动成果转化，充分释放数据价值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数据开放技术创新。围绕数据汇聚、共享、开放、应用等，开展数据相关处理技术创新研究，聚焦隐私计算、区块链等新兴数字技术，以新技术助力公共数据安全有序流通和利用。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数据开放流通创新。开展数据开放流通相关研究，探索数据授权运营新模式、数据交易流通新方式、数据确权、登记、收益分配新机制等，营造良好的数据资源开发利用环境，盘活数据资源价值，助力数据要素市场化配置改革。</w:t>
      </w:r>
    </w:p>
    <w:p>
      <w:pPr>
        <w:snapToGrid w:val="0"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数据开放其他领域创新。开展数据开放其他领域创新研究，推动公共数据全面高质量开放利用。</w:t>
      </w:r>
    </w:p>
    <w:p>
      <w:pPr>
        <w:pStyle w:val="19"/>
        <w:ind w:firstLine="640"/>
        <w:rPr>
          <w:rFonts w:ascii="Times New Roman" w:hAnsi="Times New Roman" w:eastAsia="楷体_GB2312" w:cs="Times New Roman"/>
          <w:color w:val="auto"/>
          <w:szCs w:val="32"/>
          <w:highlight w:val="none"/>
        </w:rPr>
      </w:pPr>
      <w:r>
        <w:rPr>
          <w:rFonts w:ascii="Times New Roman" w:hAnsi="Times New Roman" w:eastAsia="楷体_GB2312" w:cs="Times New Roman"/>
          <w:color w:val="auto"/>
          <w:szCs w:val="32"/>
          <w:highlight w:val="none"/>
        </w:rPr>
        <w:t>（三）建设目标及任务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1.制定实验室建设方案，明确主攻方向，提出建设目标、重点任务及期间计划完成的任务指标。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2.完善组织保障，申报主体需为实验室建设合理配备场地、资金、团队等必要资源，提供充足保障。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3.保障数据安全，采用安全可靠的技术手段，切实加强数据安全管理，建立数据安全应急机制及应急预案。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4.重视成果转化，实验室应充分利用自身研究能力优势，聚焦研究重点，注重场景、算法、数据、产品等各种形式的成果产出与转化，每年至少完成一个与数据开放相关的报告、项目或案例。</w:t>
      </w:r>
    </w:p>
    <w:p>
      <w:pPr>
        <w:pStyle w:val="31"/>
        <w:ind w:firstLine="640"/>
        <w:rPr>
          <w:rStyle w:val="16"/>
          <w:rFonts w:ascii="Times New Roman" w:hAnsi="Times New Roman" w:eastAsia="黑体" w:cs="Times New Roman"/>
          <w:b w:val="0"/>
          <w:color w:val="auto"/>
          <w:szCs w:val="32"/>
          <w:highlight w:val="none"/>
          <w:shd w:val="clear" w:color="auto" w:fill="FFFFFF"/>
        </w:rPr>
      </w:pPr>
      <w:r>
        <w:rPr>
          <w:rStyle w:val="16"/>
          <w:rFonts w:ascii="Times New Roman" w:hAnsi="Times New Roman" w:eastAsia="黑体" w:cs="Times New Roman"/>
          <w:b w:val="0"/>
          <w:color w:val="auto"/>
          <w:szCs w:val="32"/>
          <w:highlight w:val="none"/>
          <w:shd w:val="clear" w:color="auto" w:fill="FFFFFF"/>
        </w:rPr>
        <w:t>二、申报条件</w:t>
      </w:r>
    </w:p>
    <w:p>
      <w:pPr>
        <w:pStyle w:val="38"/>
        <w:snapToGrid w:val="0"/>
        <w:spacing w:line="560" w:lineRule="exact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申报单位应当具有较强的创新能力，管理科学、高效精干，能够承担建设和管理实验室的责任，为实验室运行提供必要的技术支撑、后勤保障及相应经费。同时还须满足以下条件：</w:t>
      </w:r>
    </w:p>
    <w:p>
      <w:pPr>
        <w:pStyle w:val="11"/>
        <w:widowControl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kern w:val="2"/>
          <w:sz w:val="32"/>
          <w:szCs w:val="32"/>
          <w:highlight w:val="none"/>
        </w:rPr>
        <w:t>（一）在法人资格上</w:t>
      </w:r>
      <w:r>
        <w:rPr>
          <w:rFonts w:hint="eastAsia" w:ascii="Times New Roman" w:hAnsi="Times New Roman" w:eastAsia="仿宋_GB2312"/>
          <w:color w:val="auto"/>
          <w:kern w:val="2"/>
          <w:sz w:val="32"/>
          <w:szCs w:val="32"/>
          <w:highlight w:val="none"/>
        </w:rPr>
        <w:t>，应是</w:t>
      </w:r>
      <w:r>
        <w:rPr>
          <w:rFonts w:ascii="Times New Roman" w:hAnsi="Times New Roman" w:eastAsia="仿宋_GB2312"/>
          <w:color w:val="auto"/>
          <w:kern w:val="2"/>
          <w:sz w:val="32"/>
          <w:szCs w:val="32"/>
          <w:highlight w:val="none"/>
        </w:rPr>
        <w:t>在省内依法设立、具有法人资格的企事业单位、社会组织；</w:t>
      </w:r>
    </w:p>
    <w:p>
      <w:pPr>
        <w:pStyle w:val="5"/>
        <w:numPr>
          <w:ilvl w:val="255"/>
          <w:numId w:val="0"/>
        </w:numPr>
        <w:snapToGrid w:val="0"/>
        <w:spacing w:line="560" w:lineRule="exact"/>
        <w:ind w:firstLine="640" w:firstLineChars="200"/>
        <w:rPr>
          <w:color w:val="auto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（二）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在研究方向上，应符合省委、省政府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关于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数字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强省建设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战略部署，能够解决数据开放创新应用中的问题，注重数据开放应用创新、数据开放技术创新、数据开放流通创新和数据开放其他领域创新；</w:t>
      </w:r>
    </w:p>
    <w:p>
      <w:pPr>
        <w:pStyle w:val="5"/>
        <w:numPr>
          <w:ilvl w:val="255"/>
          <w:numId w:val="0"/>
        </w:numPr>
        <w:snapToGrid w:val="0"/>
        <w:spacing w:line="560" w:lineRule="exact"/>
        <w:ind w:firstLine="640" w:firstLineChars="200"/>
        <w:rPr>
          <w:color w:val="auto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（三）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在科研能力上，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具有较强科研创新能力，有相对固定的研究团队，研究领域具有明显优势或特色，可以为实验室提供足够经费保障、技术支撑、后勤保障和学术交流等配套条件；</w:t>
      </w:r>
    </w:p>
    <w:p>
      <w:pPr>
        <w:pStyle w:val="5"/>
        <w:snapToGrid w:val="0"/>
        <w:spacing w:line="560" w:lineRule="exact"/>
        <w:ind w:firstLine="640" w:firstLineChars="200"/>
        <w:rPr>
          <w:rFonts w:ascii="Times New Roman" w:hAnsi="Times New Roman" w:eastAsia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highlight w:val="none"/>
        </w:rPr>
        <w:t>（四）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在数据管理上，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应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具有相应的数据管理和应用能力，有较强的数据安全管理能力，通过采用安全可靠的技术手段，建立数据安全应急机制及应急预案，保障数据安全；</w:t>
      </w:r>
    </w:p>
    <w:p>
      <w:pPr>
        <w:pStyle w:val="5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（五）在运行管理上，应建立较完善的规章制度，确保实验室的规范建设和运行。</w:t>
      </w:r>
    </w:p>
    <w:p>
      <w:pPr>
        <w:pStyle w:val="19"/>
        <w:snapToGrid w:val="0"/>
        <w:spacing w:line="560" w:lineRule="exact"/>
        <w:ind w:firstLine="640"/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</w:pPr>
      <w:r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  <w:t>三、申报流程</w:t>
      </w:r>
    </w:p>
    <w:p>
      <w:pPr>
        <w:pStyle w:val="31"/>
        <w:snapToGrid w:val="0"/>
        <w:spacing w:line="560" w:lineRule="exact"/>
        <w:ind w:firstLine="640"/>
        <w:outlineLvl w:val="9"/>
        <w:rPr>
          <w:rStyle w:val="16"/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</w:pP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各申报单位（高校须以相关专业二级学院名义申报）应按照申报要求，认真填写《山东省数据开放创新应用实验室（第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批）申报表》。省直各部门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eastAsia="zh-CN"/>
        </w:rPr>
        <w:t>（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单位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eastAsia="zh-CN"/>
        </w:rPr>
        <w:t>）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推荐原则上不超过1个，申报单位经主管部门审核盖章后，于202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eastAsia="zh"/>
        </w:rPr>
        <w:t>1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日前将申报表电子版（加盖公章的PDF版本与可编辑word版本）发至公务邮箱sjc@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"/>
        </w:rPr>
        <w:t>shandong.cn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。市以下申报单位经各市大数据主管部门汇总审核后，于202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年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eastAsia="zh"/>
        </w:rPr>
        <w:t>1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-US" w:eastAsia="zh-CN"/>
        </w:rPr>
        <w:t>27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日前将申报表电子版</w:t>
      </w:r>
      <w:r>
        <w:rPr>
          <w:rFonts w:hint="eastAsia"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eastAsia="zh-CN"/>
        </w:rPr>
        <w:t>发送至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公务邮箱sjc@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  <w:lang w:val="en"/>
        </w:rPr>
        <w:t>shandong.cn，每市推荐原则上不超过</w:t>
      </w:r>
      <w:r>
        <w:rPr>
          <w:rFonts w:ascii="Times New Roman" w:hAnsi="Times New Roman" w:eastAsia="仿宋_GB2312" w:cs="Times New Roman"/>
          <w:b w:val="0"/>
          <w:color w:val="auto"/>
          <w:szCs w:val="32"/>
          <w:highlight w:val="none"/>
          <w:shd w:val="clear" w:color="auto" w:fill="FFFFFF"/>
        </w:rPr>
        <w:t>2个。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申报时间截止后，省大数据局将组织专家，采取会议评审或函件评审方式，对申报材料进行评估审核，审核通过的实验室名单将正式对外公布，统一授牌，有效期三年。</w:t>
      </w:r>
    </w:p>
    <w:p>
      <w:pPr>
        <w:pStyle w:val="19"/>
        <w:ind w:firstLine="640"/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</w:pPr>
      <w:r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  <w:t>四、实验室</w:t>
      </w: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>管理</w:t>
      </w:r>
    </w:p>
    <w:p>
      <w:pPr>
        <w:pStyle w:val="38"/>
        <w:snapToGrid w:val="0"/>
        <w:spacing w:line="560" w:lineRule="exact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1.实验室的管理部门为山东省大数据局。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2.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省大数据局根据实验室评估情况，确定优秀</w:t>
      </w:r>
      <w:r>
        <w:rPr>
          <w:rFonts w:hint="eastAsia" w:ascii="Times New Roman" w:hAnsi="Times New Roman" w:cs="Times New Roman"/>
          <w:color w:val="auto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cs="Times New Roman"/>
          <w:color w:val="auto"/>
          <w:szCs w:val="32"/>
          <w:highlight w:val="none"/>
        </w:rPr>
        <w:t>合格和不合格三个评估结果等次。评估结果合格以上且仍承担相关研究任务的实验室，可继续保留实验室资格，其中评估结果为优秀的，在数据供给、资金协调等方面给予重点支持，符合山东省重点实验室建设条件的，可由省大数据局论证、审核和遂选后按程序向省科技厅推荐。评估结果为不合格的移出实验室运行序列</w:t>
      </w:r>
      <w:r>
        <w:rPr>
          <w:rFonts w:hint="eastAsia" w:ascii="Times New Roman" w:hAnsi="Times New Roman" w:cs="Times New Roman"/>
          <w:color w:val="auto"/>
          <w:szCs w:val="32"/>
          <w:highlight w:val="none"/>
          <w:lang w:eastAsia="zh-CN"/>
        </w:rPr>
        <w:t>。</w:t>
      </w:r>
    </w:p>
    <w:p>
      <w:pPr>
        <w:pStyle w:val="19"/>
        <w:ind w:firstLine="640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3.实验室应当严格遵守《中华人民共和国数据安全法》《中华人民共和国网络安全法》《中华人民共和国个人信息保护法》等有关规定，</w:t>
      </w:r>
      <w:r>
        <w:rPr>
          <w:rFonts w:ascii="Times New Roman" w:hAnsi="Times New Roman" w:cs="Times New Roman"/>
          <w:color w:val="auto"/>
          <w:szCs w:val="32"/>
          <w:highlight w:val="none"/>
          <w:shd w:val="clear" w:color="auto" w:fill="FFFFFF"/>
        </w:rPr>
        <w:t>制定数据安全使用规范，建立数据安全应急机制，确保数据安全</w:t>
      </w:r>
      <w:r>
        <w:rPr>
          <w:rFonts w:ascii="Times New Roman" w:hAnsi="Times New Roman" w:cs="Times New Roman"/>
          <w:color w:val="auto"/>
          <w:szCs w:val="32"/>
          <w:highlight w:val="none"/>
        </w:rPr>
        <w:t>。</w:t>
      </w:r>
    </w:p>
    <w:p>
      <w:pPr>
        <w:pStyle w:val="19"/>
        <w:ind w:firstLine="640"/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</w:pPr>
      <w:r>
        <w:rPr>
          <w:rStyle w:val="16"/>
          <w:rFonts w:ascii="Times New Roman" w:hAnsi="Times New Roman" w:eastAsia="黑体" w:cs="Times New Roman"/>
          <w:b w:val="0"/>
          <w:bCs w:val="0"/>
          <w:color w:val="auto"/>
          <w:szCs w:val="32"/>
          <w:highlight w:val="none"/>
          <w:shd w:val="clear" w:color="auto" w:fill="FFFFFF"/>
        </w:rPr>
        <w:t>五、支持保障</w:t>
      </w:r>
    </w:p>
    <w:p>
      <w:pPr>
        <w:pStyle w:val="19"/>
        <w:widowControl/>
        <w:ind w:firstLine="640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szCs w:val="32"/>
          <w:highlight w:val="none"/>
        </w:rPr>
        <w:t>山东省大数据局指导实验室建设，组织开展数据对接、交流培训等活动，保障实验室数据供给，推动成果转化，协调资金支持。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3AB730-20C3-4631-8C3D-4746C467EF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B1238B6-8A66-4E62-9318-150F0A730CE6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6A62464-5B7D-47C9-AF55-D2D0020107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after="528" w:afterLines="220" w:line="432" w:lineRule="auto"/>
      <w:ind w:left="320" w:left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hAnsi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hAnsi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C58F0"/>
    <w:multiLevelType w:val="multilevel"/>
    <w:tmpl w:val="028C58F0"/>
    <w:lvl w:ilvl="0" w:tentative="0">
      <w:start w:val="1"/>
      <w:numFmt w:val="chineseCountingThousand"/>
      <w:pStyle w:val="34"/>
      <w:lvlText w:val="(%1)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1">
    <w:nsid w:val="0ECB3D30"/>
    <w:multiLevelType w:val="multilevel"/>
    <w:tmpl w:val="0ECB3D30"/>
    <w:lvl w:ilvl="0" w:tentative="0">
      <w:start w:val="1"/>
      <w:numFmt w:val="decimal"/>
      <w:pStyle w:val="27"/>
      <w:suff w:val="nothing"/>
      <w:lvlText w:val="%1.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040" w:hanging="420"/>
      </w:pPr>
    </w:lvl>
    <w:lvl w:ilvl="2" w:tentative="0">
      <w:start w:val="1"/>
      <w:numFmt w:val="lowerRoman"/>
      <w:lvlText w:val="%3."/>
      <w:lvlJc w:val="right"/>
      <w:pPr>
        <w:ind w:left="1460" w:hanging="420"/>
      </w:p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abstractNum w:abstractNumId="2">
    <w:nsid w:val="20436538"/>
    <w:multiLevelType w:val="multilevel"/>
    <w:tmpl w:val="20436538"/>
    <w:lvl w:ilvl="0" w:tentative="0">
      <w:start w:val="1"/>
      <w:numFmt w:val="chineseCountingThousand"/>
      <w:pStyle w:val="18"/>
      <w:suff w:val="nothing"/>
      <w:lvlText w:val="%1、"/>
      <w:lvlJc w:val="left"/>
      <w:pPr>
        <w:ind w:left="13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hint="eastAsia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  <w:rPr>
        <w:rFonts w:hint="eastAsia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  <w:rPr>
        <w:rFonts w:hint="eastAsia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  <w:rPr>
        <w:rFonts w:hint="eastAsia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documentProtection w:enforcement="0"/>
  <w:defaultTabStop w:val="420"/>
  <w:drawingGridHorizontalSpacing w:val="163"/>
  <w:drawingGridVerticalSpacing w:val="43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yYzVmM2YwMWRjNWRjMGFlMTk2YmMxMDhkZDJkMjEifQ=="/>
  </w:docVars>
  <w:rsids>
    <w:rsidRoot w:val="00000000"/>
    <w:rsid w:val="07A00769"/>
    <w:rsid w:val="0A650C83"/>
    <w:rsid w:val="0B6D6042"/>
    <w:rsid w:val="0F576C47"/>
    <w:rsid w:val="1A78185E"/>
    <w:rsid w:val="1BE43A35"/>
    <w:rsid w:val="1E6331A0"/>
    <w:rsid w:val="23AD70AC"/>
    <w:rsid w:val="30130D9F"/>
    <w:rsid w:val="39D20986"/>
    <w:rsid w:val="3A257814"/>
    <w:rsid w:val="3CC653A2"/>
    <w:rsid w:val="409F0F81"/>
    <w:rsid w:val="42786A9F"/>
    <w:rsid w:val="4ECA7CCD"/>
    <w:rsid w:val="588B0E82"/>
    <w:rsid w:val="681C25E1"/>
    <w:rsid w:val="72827F5B"/>
    <w:rsid w:val="76E96744"/>
    <w:rsid w:val="780A0AED"/>
    <w:rsid w:val="7FC67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3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hint="eastAsi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sz w:val="30"/>
    </w:rPr>
  </w:style>
  <w:style w:type="paragraph" w:styleId="7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next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公文-1级标题"/>
    <w:next w:val="19"/>
    <w:link w:val="20"/>
    <w:qFormat/>
    <w:uiPriority w:val="0"/>
    <w:pPr>
      <w:numPr>
        <w:ilvl w:val="0"/>
        <w:numId w:val="1"/>
      </w:numPr>
      <w:spacing w:line="600" w:lineRule="exact"/>
      <w:ind w:left="0" w:firstLine="200" w:firstLineChars="200"/>
      <w:jc w:val="both"/>
      <w:outlineLvl w:val="0"/>
    </w:pPr>
    <w:rPr>
      <w:rFonts w:ascii="仿宋_GB2312" w:eastAsia="黑体" w:hAnsiTheme="minorHAnsi" w:cstheme="minorBidi"/>
      <w:bCs/>
      <w:kern w:val="44"/>
      <w:sz w:val="32"/>
      <w:szCs w:val="44"/>
      <w:lang w:val="en-US" w:eastAsia="zh-CN" w:bidi="ar-SA"/>
    </w:rPr>
  </w:style>
  <w:style w:type="paragraph" w:customStyle="1" w:styleId="19">
    <w:name w:val="公文-正文"/>
    <w:basedOn w:val="1"/>
    <w:link w:val="23"/>
    <w:qFormat/>
    <w:uiPriority w:val="0"/>
    <w:pPr>
      <w:spacing w:line="600" w:lineRule="exact"/>
      <w:ind w:firstLine="643" w:firstLineChars="200"/>
    </w:pPr>
    <w:rPr>
      <w:bCs/>
    </w:rPr>
  </w:style>
  <w:style w:type="character" w:customStyle="1" w:styleId="20">
    <w:name w:val="公文-1级标题 字符"/>
    <w:basedOn w:val="15"/>
    <w:link w:val="18"/>
    <w:qFormat/>
    <w:uiPriority w:val="0"/>
    <w:rPr>
      <w:rFonts w:eastAsia="黑体"/>
      <w:bCs/>
      <w:kern w:val="44"/>
      <w:szCs w:val="44"/>
    </w:rPr>
  </w:style>
  <w:style w:type="paragraph" w:customStyle="1" w:styleId="21">
    <w:name w:val="公文-1级"/>
    <w:next w:val="19"/>
    <w:link w:val="22"/>
    <w:qFormat/>
    <w:uiPriority w:val="0"/>
    <w:pPr>
      <w:spacing w:line="600" w:lineRule="exact"/>
      <w:ind w:firstLine="200" w:firstLineChars="200"/>
      <w:jc w:val="both"/>
      <w:outlineLvl w:val="0"/>
    </w:pPr>
    <w:rPr>
      <w:rFonts w:ascii="仿宋_GB2312" w:eastAsia="黑体" w:hAnsiTheme="minorHAnsi" w:cstheme="minorBidi"/>
      <w:kern w:val="44"/>
      <w:sz w:val="32"/>
      <w:szCs w:val="44"/>
      <w:lang w:val="en-US" w:eastAsia="zh-CN" w:bidi="ar-SA"/>
    </w:rPr>
  </w:style>
  <w:style w:type="character" w:customStyle="1" w:styleId="22">
    <w:name w:val="公文-1级 字符"/>
    <w:basedOn w:val="15"/>
    <w:link w:val="21"/>
    <w:qFormat/>
    <w:uiPriority w:val="0"/>
    <w:rPr>
      <w:rFonts w:eastAsia="黑体"/>
      <w:kern w:val="44"/>
      <w:szCs w:val="44"/>
    </w:rPr>
  </w:style>
  <w:style w:type="character" w:customStyle="1" w:styleId="23">
    <w:name w:val="公文-正文 字符"/>
    <w:basedOn w:val="15"/>
    <w:link w:val="19"/>
    <w:qFormat/>
    <w:uiPriority w:val="0"/>
    <w:rPr>
      <w:bCs/>
    </w:rPr>
  </w:style>
  <w:style w:type="paragraph" w:customStyle="1" w:styleId="24">
    <w:name w:val="公文-标题"/>
    <w:basedOn w:val="1"/>
    <w:next w:val="19"/>
    <w:link w:val="25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character" w:customStyle="1" w:styleId="25">
    <w:name w:val="公文-标题 字符"/>
    <w:basedOn w:val="15"/>
    <w:link w:val="24"/>
    <w:qFormat/>
    <w:uiPriority w:val="0"/>
    <w:rPr>
      <w:rFonts w:ascii="仿宋_GB2312" w:eastAsia="方正小标宋简体"/>
      <w:sz w:val="44"/>
    </w:rPr>
  </w:style>
  <w:style w:type="paragraph" w:customStyle="1" w:styleId="26">
    <w:name w:val="公文-3级"/>
    <w:basedOn w:val="27"/>
    <w:link w:val="28"/>
    <w:qFormat/>
    <w:uiPriority w:val="0"/>
    <w:pPr>
      <w:numPr>
        <w:numId w:val="0"/>
      </w:numPr>
      <w:ind w:firstLine="200" w:firstLineChars="200"/>
    </w:pPr>
  </w:style>
  <w:style w:type="paragraph" w:customStyle="1" w:styleId="27">
    <w:name w:val="公文-3级标题"/>
    <w:basedOn w:val="3"/>
    <w:next w:val="19"/>
    <w:link w:val="29"/>
    <w:qFormat/>
    <w:uiPriority w:val="0"/>
    <w:pPr>
      <w:numPr>
        <w:ilvl w:val="0"/>
        <w:numId w:val="2"/>
      </w:numPr>
      <w:spacing w:before="0" w:after="0" w:line="600" w:lineRule="exact"/>
      <w:ind w:left="0" w:firstLine="200" w:firstLineChars="200"/>
    </w:pPr>
  </w:style>
  <w:style w:type="character" w:customStyle="1" w:styleId="28">
    <w:name w:val="公文-3级 字符"/>
    <w:basedOn w:val="29"/>
    <w:link w:val="26"/>
    <w:qFormat/>
    <w:uiPriority w:val="0"/>
    <w:rPr>
      <w:szCs w:val="32"/>
    </w:rPr>
  </w:style>
  <w:style w:type="character" w:customStyle="1" w:styleId="29">
    <w:name w:val="公文-3级标题 字符"/>
    <w:basedOn w:val="30"/>
    <w:link w:val="27"/>
    <w:qFormat/>
    <w:uiPriority w:val="0"/>
    <w:rPr>
      <w:szCs w:val="32"/>
    </w:rPr>
  </w:style>
  <w:style w:type="character" w:customStyle="1" w:styleId="30">
    <w:name w:val="标题 3 字符"/>
    <w:basedOn w:val="15"/>
    <w:link w:val="3"/>
    <w:semiHidden/>
    <w:qFormat/>
    <w:uiPriority w:val="9"/>
    <w:rPr>
      <w:b/>
      <w:bCs/>
      <w:szCs w:val="32"/>
    </w:rPr>
  </w:style>
  <w:style w:type="paragraph" w:customStyle="1" w:styleId="31">
    <w:name w:val="公文-2级"/>
    <w:basedOn w:val="1"/>
    <w:next w:val="19"/>
    <w:link w:val="32"/>
    <w:qFormat/>
    <w:uiPriority w:val="0"/>
    <w:pPr>
      <w:spacing w:line="600" w:lineRule="exact"/>
      <w:ind w:firstLine="200" w:firstLineChars="200"/>
      <w:outlineLvl w:val="1"/>
    </w:pPr>
    <w:rPr>
      <w:rFonts w:eastAsia="楷体_GB2312"/>
      <w:b/>
    </w:rPr>
  </w:style>
  <w:style w:type="character" w:customStyle="1" w:styleId="32">
    <w:name w:val="公文-2级 字符"/>
    <w:basedOn w:val="15"/>
    <w:link w:val="31"/>
    <w:qFormat/>
    <w:uiPriority w:val="0"/>
    <w:rPr>
      <w:rFonts w:eastAsia="楷体_GB2312"/>
      <w:b/>
    </w:rPr>
  </w:style>
  <w:style w:type="character" w:customStyle="1" w:styleId="33">
    <w:name w:val="标题 2 字符"/>
    <w:basedOn w:val="15"/>
    <w:link w:val="2"/>
    <w:semiHidden/>
    <w:qFormat/>
    <w:uiPriority w:val="9"/>
    <w:rPr>
      <w:rFonts w:asciiTheme="majorHAnsi" w:hAnsiTheme="majorHAnsi" w:eastAsiaTheme="majorEastAsia" w:cstheme="majorBidi"/>
      <w:b/>
      <w:bCs/>
      <w:szCs w:val="32"/>
    </w:rPr>
  </w:style>
  <w:style w:type="paragraph" w:customStyle="1" w:styleId="34">
    <w:name w:val="公文-2级标题"/>
    <w:basedOn w:val="2"/>
    <w:next w:val="19"/>
    <w:link w:val="35"/>
    <w:qFormat/>
    <w:uiPriority w:val="0"/>
    <w:pPr>
      <w:numPr>
        <w:ilvl w:val="0"/>
        <w:numId w:val="3"/>
      </w:numPr>
      <w:spacing w:before="0" w:after="0" w:line="600" w:lineRule="exact"/>
      <w:ind w:left="0" w:firstLine="200" w:firstLineChars="200"/>
    </w:pPr>
    <w:rPr>
      <w:rFonts w:eastAsia="楷体_GB2312"/>
    </w:rPr>
  </w:style>
  <w:style w:type="character" w:customStyle="1" w:styleId="35">
    <w:name w:val="公文-2级标题 字符"/>
    <w:basedOn w:val="33"/>
    <w:link w:val="34"/>
    <w:qFormat/>
    <w:uiPriority w:val="0"/>
    <w:rPr>
      <w:rFonts w:eastAsia="楷体_GB2312" w:asciiTheme="majorHAnsi" w:hAnsiTheme="majorHAnsi" w:cstheme="majorBidi"/>
      <w:szCs w:val="32"/>
    </w:rPr>
  </w:style>
  <w:style w:type="character" w:customStyle="1" w:styleId="36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37">
    <w:name w:val="页脚 字符"/>
    <w:basedOn w:val="15"/>
    <w:link w:val="8"/>
    <w:qFormat/>
    <w:uiPriority w:val="99"/>
    <w:rPr>
      <w:sz w:val="18"/>
      <w:szCs w:val="18"/>
    </w:rPr>
  </w:style>
  <w:style w:type="paragraph" w:customStyle="1" w:styleId="38">
    <w:name w:val="List Paragraph"/>
    <w:basedOn w:val="1"/>
    <w:qFormat/>
    <w:uiPriority w:val="34"/>
    <w:pPr>
      <w:ind w:firstLine="420" w:firstLineChars="200"/>
    </w:pPr>
  </w:style>
  <w:style w:type="paragraph" w:customStyle="1" w:styleId="39">
    <w:name w:val="Revision"/>
    <w:hidden/>
    <w:semiHidden/>
    <w:qFormat/>
    <w:uiPriority w:val="99"/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3064</Words>
  <Characters>3353</Characters>
  <Lines>26</Lines>
  <Paragraphs>7</Paragraphs>
  <TotalTime>8</TotalTime>
  <ScaleCrop>false</ScaleCrop>
  <LinksUpToDate>false</LinksUpToDate>
  <CharactersWithSpaces>3531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2022-04-17T16:05:00Z</dcterms:created>
  <dc:creator>wang xinming</dc:creator>
  <cp:lastModifiedBy>芦浩</cp:lastModifiedBy>
  <dcterms:modified xsi:type="dcterms:W3CDTF">2023-10-13T05:22:30Z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C50E98C686814A19843B9887891D891F_13</vt:lpwstr>
  </property>
</Properties>
</file>