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8D909">
      <w:pPr>
        <w:pStyle w:val="2"/>
        <w:ind w:firstLine="0" w:firstLineChars="0"/>
        <w:rPr>
          <w:rFonts w:ascii="Times New Roman" w:hAnsi="Times New Roman" w:eastAsia="黑体" w:cs="Times New Roman"/>
        </w:rPr>
      </w:pPr>
      <w:r>
        <w:rPr>
          <w:rFonts w:ascii="Times New Roman" w:hAnsi="Times New Roman" w:eastAsia="黑体" w:cs="Times New Roman"/>
        </w:rPr>
        <w:t>附件2</w:t>
      </w:r>
    </w:p>
    <w:p w14:paraId="1BAA7F38">
      <w:pPr>
        <w:pStyle w:val="2"/>
        <w:ind w:firstLine="0" w:firstLineChars="0"/>
        <w:jc w:val="center"/>
        <w:rPr>
          <w:rFonts w:ascii="Times New Roman" w:hAnsi="Times New Roman" w:eastAsia="方正小标宋_GBK" w:cs="Times New Roman"/>
          <w:sz w:val="44"/>
          <w:szCs w:val="44"/>
        </w:rPr>
      </w:pPr>
      <w:bookmarkStart w:id="0" w:name="_GoBack"/>
      <w:r>
        <w:rPr>
          <w:rFonts w:ascii="Times New Roman" w:hAnsi="Times New Roman" w:eastAsia="方正小标宋_GBK" w:cs="Times New Roman"/>
          <w:sz w:val="44"/>
          <w:szCs w:val="44"/>
        </w:rPr>
        <w:t>2026年数字山东标准</w:t>
      </w:r>
      <w:r>
        <w:rPr>
          <w:rFonts w:ascii="Times New Roman" w:hAnsi="Times New Roman" w:eastAsia="方正小标宋_GBK" w:cs="Times New Roman"/>
          <w:color w:val="000000"/>
          <w:kern w:val="0"/>
          <w:sz w:val="44"/>
          <w:szCs w:val="44"/>
        </w:rPr>
        <w:t>应用典型</w:t>
      </w:r>
      <w:r>
        <w:rPr>
          <w:rFonts w:ascii="Times New Roman" w:hAnsi="Times New Roman" w:eastAsia="方正小标宋_GBK" w:cs="Times New Roman"/>
          <w:sz w:val="44"/>
          <w:szCs w:val="44"/>
        </w:rPr>
        <w:t>案例简介</w:t>
      </w:r>
      <w:bookmarkEnd w:id="0"/>
    </w:p>
    <w:tbl>
      <w:tblPr>
        <w:tblStyle w:val="5"/>
        <w:tblW w:w="13658" w:type="dxa"/>
        <w:jc w:val="center"/>
        <w:tblLayout w:type="autofit"/>
        <w:tblCellMar>
          <w:top w:w="0" w:type="dxa"/>
          <w:left w:w="108" w:type="dxa"/>
          <w:bottom w:w="0" w:type="dxa"/>
          <w:right w:w="108" w:type="dxa"/>
        </w:tblCellMar>
      </w:tblPr>
      <w:tblGrid>
        <w:gridCol w:w="810"/>
        <w:gridCol w:w="2989"/>
        <w:gridCol w:w="1800"/>
        <w:gridCol w:w="8059"/>
      </w:tblGrid>
      <w:tr w14:paraId="73E4A469">
        <w:tblPrEx>
          <w:tblCellMar>
            <w:top w:w="0" w:type="dxa"/>
            <w:left w:w="108" w:type="dxa"/>
            <w:bottom w:w="0" w:type="dxa"/>
            <w:right w:w="108" w:type="dxa"/>
          </w:tblCellMar>
        </w:tblPrEx>
        <w:trPr>
          <w:trHeight w:val="460" w:hRule="atLeast"/>
          <w:tblHeader/>
          <w:jc w:val="center"/>
        </w:trPr>
        <w:tc>
          <w:tcPr>
            <w:tcW w:w="810" w:type="dxa"/>
            <w:tcBorders>
              <w:top w:val="single" w:color="000000" w:sz="4" w:space="0"/>
              <w:left w:val="single" w:color="000000" w:sz="4" w:space="0"/>
              <w:bottom w:val="single" w:color="000000" w:sz="4" w:space="0"/>
              <w:right w:val="single" w:color="000000" w:sz="4" w:space="0"/>
            </w:tcBorders>
            <w:vAlign w:val="center"/>
          </w:tcPr>
          <w:p w14:paraId="70D04148">
            <w:pPr>
              <w:widowControl/>
              <w:jc w:val="center"/>
              <w:textAlignment w:val="center"/>
              <w:rPr>
                <w:rFonts w:ascii="Times New Roman" w:hAnsi="Times New Roman" w:eastAsia="黑体" w:cs="Times New Roman"/>
                <w:color w:val="auto"/>
                <w:sz w:val="24"/>
              </w:rPr>
            </w:pPr>
            <w:r>
              <w:rPr>
                <w:rFonts w:ascii="Times New Roman" w:hAnsi="Times New Roman" w:eastAsia="黑体" w:cs="Times New Roman"/>
                <w:color w:val="auto"/>
                <w:kern w:val="0"/>
                <w:sz w:val="24"/>
                <w:lang w:bidi="ar"/>
              </w:rPr>
              <w:t>序号</w:t>
            </w:r>
          </w:p>
        </w:tc>
        <w:tc>
          <w:tcPr>
            <w:tcW w:w="2989" w:type="dxa"/>
            <w:tcBorders>
              <w:top w:val="single" w:color="000000" w:sz="4" w:space="0"/>
              <w:left w:val="single" w:color="000000" w:sz="4" w:space="0"/>
              <w:bottom w:val="single" w:color="000000" w:sz="4" w:space="0"/>
              <w:right w:val="single" w:color="000000" w:sz="4" w:space="0"/>
            </w:tcBorders>
            <w:vAlign w:val="center"/>
          </w:tcPr>
          <w:p w14:paraId="51EA9E42">
            <w:pPr>
              <w:widowControl/>
              <w:jc w:val="center"/>
              <w:textAlignment w:val="center"/>
              <w:rPr>
                <w:rFonts w:ascii="Times New Roman" w:hAnsi="Times New Roman" w:eastAsia="黑体" w:cs="Times New Roman"/>
                <w:color w:val="auto"/>
                <w:sz w:val="24"/>
              </w:rPr>
            </w:pPr>
            <w:r>
              <w:rPr>
                <w:rFonts w:ascii="Times New Roman" w:hAnsi="Times New Roman" w:eastAsia="黑体" w:cs="Times New Roman"/>
                <w:color w:val="auto"/>
                <w:kern w:val="0"/>
                <w:sz w:val="24"/>
                <w:lang w:bidi="ar"/>
              </w:rPr>
              <w:t>案例名称</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E6E0">
            <w:pPr>
              <w:widowControl/>
              <w:jc w:val="center"/>
              <w:textAlignment w:val="center"/>
              <w:rPr>
                <w:rFonts w:ascii="Times New Roman" w:hAnsi="Times New Roman" w:eastAsia="黑体" w:cs="Times New Roman"/>
                <w:color w:val="auto"/>
                <w:sz w:val="24"/>
              </w:rPr>
            </w:pPr>
            <w:r>
              <w:rPr>
                <w:rFonts w:ascii="Times New Roman" w:hAnsi="Times New Roman" w:eastAsia="黑体" w:cs="Times New Roman"/>
                <w:color w:val="auto"/>
                <w:kern w:val="0"/>
                <w:sz w:val="24"/>
                <w:lang w:bidi="ar"/>
              </w:rPr>
              <w:t>案例应用单位</w:t>
            </w:r>
          </w:p>
        </w:tc>
        <w:tc>
          <w:tcPr>
            <w:tcW w:w="8059" w:type="dxa"/>
            <w:tcBorders>
              <w:top w:val="single" w:color="000000" w:sz="4" w:space="0"/>
              <w:left w:val="single" w:color="000000" w:sz="4" w:space="0"/>
              <w:bottom w:val="single" w:color="000000" w:sz="4" w:space="0"/>
              <w:right w:val="single" w:color="000000" w:sz="4" w:space="0"/>
            </w:tcBorders>
            <w:vAlign w:val="center"/>
          </w:tcPr>
          <w:p w14:paraId="4BA5695A">
            <w:pPr>
              <w:widowControl/>
              <w:jc w:val="center"/>
              <w:textAlignment w:val="center"/>
              <w:rPr>
                <w:rFonts w:ascii="Times New Roman" w:hAnsi="Times New Roman" w:eastAsia="黑体" w:cs="Times New Roman"/>
                <w:color w:val="auto"/>
                <w:sz w:val="24"/>
              </w:rPr>
            </w:pPr>
            <w:r>
              <w:rPr>
                <w:rFonts w:ascii="Times New Roman" w:hAnsi="Times New Roman" w:eastAsia="黑体" w:cs="Times New Roman"/>
                <w:color w:val="auto"/>
                <w:kern w:val="0"/>
                <w:sz w:val="24"/>
                <w:lang w:bidi="ar"/>
              </w:rPr>
              <w:t>案例简介</w:t>
            </w:r>
          </w:p>
        </w:tc>
      </w:tr>
      <w:tr w14:paraId="6D95B1F6">
        <w:tblPrEx>
          <w:tblCellMar>
            <w:top w:w="0" w:type="dxa"/>
            <w:left w:w="108" w:type="dxa"/>
            <w:bottom w:w="0" w:type="dxa"/>
            <w:right w:w="108" w:type="dxa"/>
          </w:tblCellMar>
        </w:tblPrEx>
        <w:trPr>
          <w:cantSplit/>
          <w:trHeight w:val="2600"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943C">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8A3D">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制定实施矛盾纠纷数据分类标准，赋能社会治安综合治理智能化转型</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1569">
            <w:pPr>
              <w:widowControl/>
              <w:spacing w:line="360" w:lineRule="exact"/>
              <w:jc w:val="center"/>
              <w:textAlignment w:val="center"/>
              <w:rPr>
                <w:rFonts w:ascii="Times New Roman" w:hAnsi="Times New Roman" w:cs="Times New Roman"/>
                <w:color w:val="auto"/>
                <w:kern w:val="0"/>
                <w:sz w:val="21"/>
                <w:szCs w:val="21"/>
                <w:lang w:bidi="ar"/>
              </w:rPr>
            </w:pPr>
            <w:r>
              <w:rPr>
                <w:rFonts w:ascii="Times New Roman" w:hAnsi="Times New Roman" w:cs="Times New Roman"/>
                <w:color w:val="auto"/>
                <w:kern w:val="0"/>
                <w:sz w:val="21"/>
                <w:szCs w:val="21"/>
                <w:lang w:bidi="ar"/>
              </w:rPr>
              <w:t>中共山东省委</w:t>
            </w:r>
          </w:p>
          <w:p w14:paraId="3D4C07D2">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政法委员会</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7489">
            <w:pPr>
              <w:widowControl/>
              <w:spacing w:line="360" w:lineRule="exact"/>
              <w:textAlignment w:val="top"/>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中共山东省委政法委员会依托</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政法大脑</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数智平台，针对社会治安综合治理领域矛盾纠纷数据分类标准缺失、跨部门数据壁垒林立、风险研判缺乏统一依据等问题，主导编制了数字山东技术规范《基于</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政法大脑</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数智平台的社会治安综合治理矛盾纠纷数据分类指南》，明确</w:t>
            </w:r>
            <w:r>
              <w:rPr>
                <w:rStyle w:val="8"/>
                <w:rFonts w:hint="default" w:ascii="Times New Roman" w:hAnsi="Times New Roman" w:cs="Times New Roman"/>
                <w:color w:val="auto"/>
                <w:sz w:val="21"/>
                <w:szCs w:val="21"/>
                <w:lang w:bidi="ar"/>
              </w:rPr>
              <w:t>“18</w:t>
            </w:r>
            <w:r>
              <w:rPr>
                <w:rStyle w:val="7"/>
                <w:rFonts w:hint="default" w:ascii="Times New Roman" w:hAnsi="Times New Roman" w:cs="Times New Roman"/>
                <w:color w:val="auto"/>
                <w:sz w:val="21"/>
                <w:szCs w:val="21"/>
                <w:lang w:bidi="ar"/>
              </w:rPr>
              <w:t>大类</w:t>
            </w:r>
            <w:r>
              <w:rPr>
                <w:rStyle w:val="8"/>
                <w:rFonts w:hint="default" w:ascii="Times New Roman" w:hAnsi="Times New Roman" w:cs="Times New Roman"/>
                <w:color w:val="auto"/>
                <w:sz w:val="21"/>
                <w:szCs w:val="21"/>
                <w:lang w:bidi="ar"/>
              </w:rPr>
              <w:t>+334</w:t>
            </w:r>
            <w:r>
              <w:rPr>
                <w:rStyle w:val="7"/>
                <w:rFonts w:hint="default" w:ascii="Times New Roman" w:hAnsi="Times New Roman" w:cs="Times New Roman"/>
                <w:color w:val="auto"/>
                <w:sz w:val="21"/>
                <w:szCs w:val="21"/>
                <w:lang w:bidi="ar"/>
              </w:rPr>
              <w:t>小类</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二级分类体系和数字编码规则，配套建立数据归集、治理、共享长效机制，推动标准在全省</w:t>
            </w:r>
            <w:r>
              <w:rPr>
                <w:rStyle w:val="8"/>
                <w:rFonts w:hint="default" w:ascii="Times New Roman" w:hAnsi="Times New Roman" w:cs="Times New Roman"/>
                <w:color w:val="auto"/>
                <w:sz w:val="21"/>
                <w:szCs w:val="21"/>
                <w:lang w:bidi="ar"/>
              </w:rPr>
              <w:t>17</w:t>
            </w:r>
            <w:r>
              <w:rPr>
                <w:rStyle w:val="7"/>
                <w:rFonts w:hint="default" w:ascii="Times New Roman" w:hAnsi="Times New Roman" w:cs="Times New Roman"/>
                <w:color w:val="auto"/>
                <w:sz w:val="21"/>
                <w:szCs w:val="21"/>
                <w:lang w:bidi="ar"/>
              </w:rPr>
              <w:t>个单位宣贯推广、深度应用，累计归集治理数据</w:t>
            </w:r>
            <w:r>
              <w:rPr>
                <w:rStyle w:val="8"/>
                <w:rFonts w:hint="default" w:ascii="Times New Roman" w:hAnsi="Times New Roman" w:cs="Times New Roman"/>
                <w:color w:val="auto"/>
                <w:sz w:val="21"/>
                <w:szCs w:val="21"/>
                <w:lang w:bidi="ar"/>
              </w:rPr>
              <w:t>9.39</w:t>
            </w:r>
            <w:r>
              <w:rPr>
                <w:rStyle w:val="7"/>
                <w:rFonts w:hint="default" w:ascii="Times New Roman" w:hAnsi="Times New Roman" w:cs="Times New Roman"/>
                <w:color w:val="auto"/>
                <w:sz w:val="21"/>
                <w:szCs w:val="21"/>
                <w:lang w:bidi="ar"/>
              </w:rPr>
              <w:t>亿条，支撑</w:t>
            </w:r>
            <w:r>
              <w:rPr>
                <w:rStyle w:val="8"/>
                <w:rFonts w:hint="default" w:ascii="Times New Roman" w:hAnsi="Times New Roman" w:cs="Times New Roman"/>
                <w:color w:val="auto"/>
                <w:sz w:val="21"/>
                <w:szCs w:val="21"/>
                <w:lang w:bidi="ar"/>
              </w:rPr>
              <w:t>8</w:t>
            </w:r>
            <w:r>
              <w:rPr>
                <w:rStyle w:val="7"/>
                <w:rFonts w:hint="default" w:ascii="Times New Roman" w:hAnsi="Times New Roman" w:cs="Times New Roman"/>
                <w:color w:val="auto"/>
                <w:sz w:val="21"/>
                <w:szCs w:val="21"/>
                <w:lang w:bidi="ar"/>
              </w:rPr>
              <w:t>大类风险场景智能化研判，预警准确率超过</w:t>
            </w:r>
            <w:r>
              <w:rPr>
                <w:rStyle w:val="8"/>
                <w:rFonts w:hint="default" w:ascii="Times New Roman" w:hAnsi="Times New Roman" w:cs="Times New Roman"/>
                <w:color w:val="auto"/>
                <w:sz w:val="21"/>
                <w:szCs w:val="21"/>
                <w:lang w:bidi="ar"/>
              </w:rPr>
              <w:t>80%</w:t>
            </w:r>
            <w:r>
              <w:rPr>
                <w:rStyle w:val="7"/>
                <w:rFonts w:hint="default" w:ascii="Times New Roman" w:hAnsi="Times New Roman" w:cs="Times New Roman"/>
                <w:color w:val="auto"/>
                <w:sz w:val="21"/>
                <w:szCs w:val="21"/>
                <w:lang w:bidi="ar"/>
              </w:rPr>
              <w:t>，实现了矛盾纠纷数据</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有标可依、有类可归、有码可查</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，有效提升了社会治安综合治理数字化智能化水平。</w:t>
            </w:r>
          </w:p>
        </w:tc>
      </w:tr>
      <w:tr w14:paraId="1B939E0A">
        <w:tblPrEx>
          <w:tblCellMar>
            <w:top w:w="0" w:type="dxa"/>
            <w:left w:w="108" w:type="dxa"/>
            <w:bottom w:w="0" w:type="dxa"/>
            <w:right w:w="108" w:type="dxa"/>
          </w:tblCellMar>
        </w:tblPrEx>
        <w:trPr>
          <w:cantSplit/>
          <w:trHeight w:val="2600"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ECE8">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2</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4114">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以标准规范驱动教育城域网统一建设与安全运行</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8842">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山东省教育厅</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0867">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山东省教育厅针对全省教育专网建设架构不统一、接入管理无序、地址域名管理混乱、安全防护不规范等问题，牵头编制了数字山东技术规范《山东省教育专网建设规范</w:t>
            </w:r>
            <w:r>
              <w:rPr>
                <w:rStyle w:val="10"/>
                <w:color w:val="auto"/>
                <w:sz w:val="21"/>
                <w:szCs w:val="21"/>
                <w:lang w:bidi="ar"/>
              </w:rPr>
              <w:t xml:space="preserve"> </w:t>
            </w:r>
            <w:r>
              <w:rPr>
                <w:rStyle w:val="9"/>
                <w:rFonts w:hint="default" w:ascii="Times New Roman" w:hAnsi="Times New Roman" w:cs="Times New Roman"/>
                <w:color w:val="auto"/>
                <w:sz w:val="21"/>
                <w:szCs w:val="21"/>
                <w:lang w:bidi="ar"/>
              </w:rPr>
              <w:t>第</w:t>
            </w:r>
            <w:r>
              <w:rPr>
                <w:rStyle w:val="10"/>
                <w:color w:val="auto"/>
                <w:sz w:val="21"/>
                <w:szCs w:val="21"/>
                <w:lang w:bidi="ar"/>
              </w:rPr>
              <w:t>1</w:t>
            </w:r>
            <w:r>
              <w:rPr>
                <w:rStyle w:val="9"/>
                <w:rFonts w:hint="default" w:ascii="Times New Roman" w:hAnsi="Times New Roman" w:cs="Times New Roman"/>
                <w:color w:val="auto"/>
                <w:sz w:val="21"/>
                <w:szCs w:val="21"/>
                <w:lang w:bidi="ar"/>
              </w:rPr>
              <w:t>部分：总体要求》（</w:t>
            </w:r>
            <w:r>
              <w:rPr>
                <w:rStyle w:val="10"/>
                <w:color w:val="auto"/>
                <w:sz w:val="21"/>
                <w:szCs w:val="21"/>
                <w:lang w:bidi="ar"/>
              </w:rPr>
              <w:t>SZSD 0002.1—2026</w:t>
            </w:r>
            <w:r>
              <w:rPr>
                <w:rStyle w:val="9"/>
                <w:rFonts w:hint="default" w:ascii="Times New Roman" w:hAnsi="Times New Roman" w:cs="Times New Roman"/>
                <w:color w:val="auto"/>
                <w:sz w:val="21"/>
                <w:szCs w:val="21"/>
                <w:lang w:bidi="ar"/>
              </w:rPr>
              <w:t>）、《山东省教育专网建设规范</w:t>
            </w:r>
            <w:r>
              <w:rPr>
                <w:rStyle w:val="10"/>
                <w:color w:val="auto"/>
                <w:sz w:val="21"/>
                <w:szCs w:val="21"/>
                <w:lang w:bidi="ar"/>
              </w:rPr>
              <w:t xml:space="preserve"> </w:t>
            </w:r>
            <w:r>
              <w:rPr>
                <w:rStyle w:val="9"/>
                <w:rFonts w:hint="default" w:ascii="Times New Roman" w:hAnsi="Times New Roman" w:cs="Times New Roman"/>
                <w:color w:val="auto"/>
                <w:sz w:val="21"/>
                <w:szCs w:val="21"/>
                <w:lang w:bidi="ar"/>
              </w:rPr>
              <w:t>第</w:t>
            </w:r>
            <w:r>
              <w:rPr>
                <w:rStyle w:val="10"/>
                <w:color w:val="auto"/>
                <w:sz w:val="21"/>
                <w:szCs w:val="21"/>
                <w:lang w:bidi="ar"/>
              </w:rPr>
              <w:t>2</w:t>
            </w:r>
            <w:r>
              <w:rPr>
                <w:rStyle w:val="9"/>
                <w:rFonts w:hint="default" w:ascii="Times New Roman" w:hAnsi="Times New Roman" w:cs="Times New Roman"/>
                <w:color w:val="auto"/>
                <w:sz w:val="21"/>
                <w:szCs w:val="21"/>
                <w:lang w:bidi="ar"/>
              </w:rPr>
              <w:t>部分：接入要求》（</w:t>
            </w:r>
            <w:r>
              <w:rPr>
                <w:rStyle w:val="10"/>
                <w:color w:val="auto"/>
                <w:sz w:val="21"/>
                <w:szCs w:val="21"/>
                <w:lang w:bidi="ar"/>
              </w:rPr>
              <w:t>SZSD 0002.2—2026</w:t>
            </w:r>
            <w:r>
              <w:rPr>
                <w:rStyle w:val="9"/>
                <w:rFonts w:hint="default" w:ascii="Times New Roman" w:hAnsi="Times New Roman" w:cs="Times New Roman"/>
                <w:color w:val="auto"/>
                <w:sz w:val="21"/>
                <w:szCs w:val="21"/>
                <w:lang w:bidi="ar"/>
              </w:rPr>
              <w:t>），并全面应用于教育专网规划、建设、接入、运维、安全管理全流程，统一了全省教育专网网络架构，规范了接入闭环流程、带宽设置、</w:t>
            </w:r>
            <w:r>
              <w:rPr>
                <w:rStyle w:val="10"/>
                <w:color w:val="auto"/>
                <w:sz w:val="21"/>
                <w:szCs w:val="21"/>
                <w:lang w:bidi="ar"/>
              </w:rPr>
              <w:t>IPv6</w:t>
            </w:r>
            <w:r>
              <w:rPr>
                <w:rStyle w:val="9"/>
                <w:rFonts w:hint="default" w:ascii="Times New Roman" w:hAnsi="Times New Roman" w:cs="Times New Roman"/>
                <w:color w:val="auto"/>
                <w:sz w:val="21"/>
                <w:szCs w:val="21"/>
                <w:lang w:bidi="ar"/>
              </w:rPr>
              <w:t>地址与</w:t>
            </w:r>
            <w:r>
              <w:rPr>
                <w:rStyle w:val="10"/>
                <w:color w:val="auto"/>
                <w:sz w:val="21"/>
                <w:szCs w:val="21"/>
                <w:lang w:bidi="ar"/>
              </w:rPr>
              <w:t>edu.cn</w:t>
            </w:r>
            <w:r>
              <w:rPr>
                <w:rStyle w:val="9"/>
                <w:rFonts w:hint="default" w:ascii="Times New Roman" w:hAnsi="Times New Roman" w:cs="Times New Roman"/>
                <w:color w:val="auto"/>
                <w:sz w:val="21"/>
                <w:szCs w:val="21"/>
                <w:lang w:bidi="ar"/>
              </w:rPr>
              <w:t>域名管理等，落地标准化安全防护与运维应急机制。目前，教育专网已接入</w:t>
            </w:r>
            <w:r>
              <w:rPr>
                <w:rStyle w:val="10"/>
                <w:color w:val="auto"/>
                <w:sz w:val="21"/>
                <w:szCs w:val="21"/>
                <w:lang w:bidi="ar"/>
              </w:rPr>
              <w:t>185</w:t>
            </w:r>
            <w:r>
              <w:rPr>
                <w:rStyle w:val="9"/>
                <w:rFonts w:hint="default" w:ascii="Times New Roman" w:hAnsi="Times New Roman" w:cs="Times New Roman"/>
                <w:color w:val="auto"/>
                <w:sz w:val="21"/>
                <w:szCs w:val="21"/>
                <w:lang w:bidi="ar"/>
              </w:rPr>
              <w:t>家单位，支撑</w:t>
            </w:r>
            <w:r>
              <w:rPr>
                <w:rStyle w:val="10"/>
                <w:color w:val="auto"/>
                <w:sz w:val="21"/>
                <w:szCs w:val="21"/>
                <w:lang w:bidi="ar"/>
              </w:rPr>
              <w:t>160</w:t>
            </w:r>
            <w:r>
              <w:rPr>
                <w:rStyle w:val="9"/>
                <w:rFonts w:hint="default" w:ascii="Times New Roman" w:hAnsi="Times New Roman" w:cs="Times New Roman"/>
                <w:color w:val="auto"/>
                <w:sz w:val="21"/>
                <w:szCs w:val="21"/>
                <w:lang w:bidi="ar"/>
              </w:rPr>
              <w:t>余项教育业务系统运行，主干网设备可用率不低于</w:t>
            </w:r>
            <w:r>
              <w:rPr>
                <w:rStyle w:val="10"/>
                <w:color w:val="auto"/>
                <w:sz w:val="21"/>
                <w:szCs w:val="21"/>
                <w:lang w:bidi="ar"/>
              </w:rPr>
              <w:t>99.9%</w:t>
            </w:r>
            <w:r>
              <w:rPr>
                <w:rStyle w:val="9"/>
                <w:rFonts w:hint="default" w:ascii="Times New Roman" w:hAnsi="Times New Roman" w:cs="Times New Roman"/>
                <w:color w:val="auto"/>
                <w:sz w:val="21"/>
                <w:szCs w:val="21"/>
                <w:lang w:bidi="ar"/>
              </w:rPr>
              <w:t>，成功处置了多起网络攻击，形成</w:t>
            </w:r>
            <w:r>
              <w:rPr>
                <w:rStyle w:val="10"/>
                <w:color w:val="auto"/>
                <w:sz w:val="21"/>
                <w:szCs w:val="21"/>
                <w:lang w:bidi="ar"/>
              </w:rPr>
              <w:t>“</w:t>
            </w:r>
            <w:r>
              <w:rPr>
                <w:rStyle w:val="9"/>
                <w:rFonts w:hint="default" w:ascii="Times New Roman" w:hAnsi="Times New Roman" w:cs="Times New Roman"/>
                <w:color w:val="auto"/>
                <w:sz w:val="21"/>
                <w:szCs w:val="21"/>
                <w:lang w:bidi="ar"/>
              </w:rPr>
              <w:t>标准编制</w:t>
            </w:r>
            <w:r>
              <w:rPr>
                <w:rStyle w:val="10"/>
                <w:color w:val="auto"/>
                <w:sz w:val="21"/>
                <w:szCs w:val="21"/>
                <w:lang w:bidi="ar"/>
              </w:rPr>
              <w:t>—</w:t>
            </w:r>
            <w:r>
              <w:rPr>
                <w:rStyle w:val="9"/>
                <w:rFonts w:hint="default" w:ascii="Times New Roman" w:hAnsi="Times New Roman" w:cs="Times New Roman"/>
                <w:color w:val="auto"/>
                <w:sz w:val="21"/>
                <w:szCs w:val="21"/>
                <w:lang w:bidi="ar"/>
              </w:rPr>
              <w:t>采购嵌入</w:t>
            </w:r>
            <w:r>
              <w:rPr>
                <w:rStyle w:val="10"/>
                <w:color w:val="auto"/>
                <w:sz w:val="21"/>
                <w:szCs w:val="21"/>
                <w:lang w:bidi="ar"/>
              </w:rPr>
              <w:t>—</w:t>
            </w:r>
            <w:r>
              <w:rPr>
                <w:rStyle w:val="9"/>
                <w:rFonts w:hint="default" w:ascii="Times New Roman" w:hAnsi="Times New Roman" w:cs="Times New Roman"/>
                <w:color w:val="auto"/>
                <w:sz w:val="21"/>
                <w:szCs w:val="21"/>
                <w:lang w:bidi="ar"/>
              </w:rPr>
              <w:t>运维对标</w:t>
            </w:r>
            <w:r>
              <w:rPr>
                <w:rStyle w:val="10"/>
                <w:color w:val="auto"/>
                <w:sz w:val="21"/>
                <w:szCs w:val="21"/>
                <w:lang w:bidi="ar"/>
              </w:rPr>
              <w:t>—</w:t>
            </w:r>
            <w:r>
              <w:rPr>
                <w:rStyle w:val="9"/>
                <w:rFonts w:hint="default" w:ascii="Times New Roman" w:hAnsi="Times New Roman" w:cs="Times New Roman"/>
                <w:color w:val="auto"/>
                <w:sz w:val="21"/>
                <w:szCs w:val="21"/>
                <w:lang w:bidi="ar"/>
              </w:rPr>
              <w:t>考核监督</w:t>
            </w:r>
            <w:r>
              <w:rPr>
                <w:rStyle w:val="10"/>
                <w:color w:val="auto"/>
                <w:sz w:val="21"/>
                <w:szCs w:val="21"/>
                <w:lang w:bidi="ar"/>
              </w:rPr>
              <w:t>”</w:t>
            </w:r>
            <w:r>
              <w:rPr>
                <w:rStyle w:val="9"/>
                <w:rFonts w:hint="default" w:ascii="Times New Roman" w:hAnsi="Times New Roman" w:cs="Times New Roman"/>
                <w:color w:val="auto"/>
                <w:sz w:val="21"/>
                <w:szCs w:val="21"/>
                <w:lang w:bidi="ar"/>
              </w:rPr>
              <w:t>的完整落地路径，可为其他省份教育专网建设提供可复制模板。</w:t>
            </w:r>
          </w:p>
        </w:tc>
      </w:tr>
      <w:tr w14:paraId="14240213">
        <w:tblPrEx>
          <w:tblCellMar>
            <w:top w:w="0" w:type="dxa"/>
            <w:left w:w="108" w:type="dxa"/>
            <w:bottom w:w="0" w:type="dxa"/>
            <w:right w:w="108" w:type="dxa"/>
          </w:tblCellMar>
        </w:tblPrEx>
        <w:trPr>
          <w:cantSplit/>
          <w:trHeight w:val="2600" w:hRule="atLeast"/>
          <w:jc w:val="center"/>
        </w:trPr>
        <w:tc>
          <w:tcPr>
            <w:tcW w:w="810" w:type="dxa"/>
            <w:tcBorders>
              <w:top w:val="single" w:color="000000" w:sz="4" w:space="0"/>
              <w:left w:val="single" w:color="000000" w:sz="4" w:space="0"/>
              <w:bottom w:val="single" w:color="000000" w:sz="4" w:space="0"/>
              <w:right w:val="single" w:color="000000" w:sz="4" w:space="0"/>
            </w:tcBorders>
            <w:vAlign w:val="center"/>
          </w:tcPr>
          <w:p w14:paraId="546675F4">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3</w:t>
            </w:r>
          </w:p>
        </w:tc>
        <w:tc>
          <w:tcPr>
            <w:tcW w:w="2989" w:type="dxa"/>
            <w:tcBorders>
              <w:top w:val="single" w:color="000000" w:sz="4" w:space="0"/>
              <w:left w:val="single" w:color="000000" w:sz="4" w:space="0"/>
              <w:bottom w:val="single" w:color="000000" w:sz="4" w:space="0"/>
              <w:right w:val="single" w:color="000000" w:sz="4" w:space="0"/>
            </w:tcBorders>
            <w:vAlign w:val="center"/>
          </w:tcPr>
          <w:p w14:paraId="78DF147B">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标准固规则，数字提效能——政府采购线上服务融合实践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6BEB">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山东省公共资源交易中心</w:t>
            </w:r>
          </w:p>
        </w:tc>
        <w:tc>
          <w:tcPr>
            <w:tcW w:w="8059" w:type="dxa"/>
            <w:tcBorders>
              <w:top w:val="single" w:color="000000" w:sz="4" w:space="0"/>
              <w:left w:val="single" w:color="000000" w:sz="4" w:space="0"/>
              <w:bottom w:val="single" w:color="000000" w:sz="4" w:space="0"/>
              <w:right w:val="single" w:color="000000" w:sz="4" w:space="0"/>
            </w:tcBorders>
            <w:vAlign w:val="center"/>
          </w:tcPr>
          <w:p w14:paraId="4F88CFB0">
            <w:pPr>
              <w:widowControl/>
              <w:spacing w:line="360" w:lineRule="exac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山东省公共资源交易中心针对政府采购线上服务业务流程复杂、系统平台众多、数据标准不统一等问题，开展了政府采购（线上）服务标准化试点，围绕基础通用、平台和数据、交易服务、交易保障四大领域构建全链条标准化体系，累计完善标准</w:t>
            </w:r>
            <w:r>
              <w:rPr>
                <w:rStyle w:val="10"/>
                <w:color w:val="auto"/>
                <w:sz w:val="21"/>
                <w:szCs w:val="21"/>
                <w:lang w:bidi="ar"/>
              </w:rPr>
              <w:t>89</w:t>
            </w:r>
            <w:r>
              <w:rPr>
                <w:rStyle w:val="9"/>
                <w:rFonts w:hint="default" w:ascii="Times New Roman" w:hAnsi="Times New Roman" w:cs="Times New Roman"/>
                <w:color w:val="auto"/>
                <w:sz w:val="21"/>
                <w:szCs w:val="21"/>
                <w:lang w:bidi="ar"/>
              </w:rPr>
              <w:t>项，引用国家标准、地方标准和行业标准</w:t>
            </w:r>
            <w:r>
              <w:rPr>
                <w:rStyle w:val="10"/>
                <w:color w:val="auto"/>
                <w:sz w:val="21"/>
                <w:szCs w:val="21"/>
                <w:lang w:bidi="ar"/>
              </w:rPr>
              <w:t>50</w:t>
            </w:r>
            <w:r>
              <w:rPr>
                <w:rStyle w:val="9"/>
                <w:rFonts w:hint="default" w:ascii="Times New Roman" w:hAnsi="Times New Roman" w:cs="Times New Roman"/>
                <w:color w:val="auto"/>
                <w:sz w:val="21"/>
                <w:szCs w:val="21"/>
                <w:lang w:bidi="ar"/>
              </w:rPr>
              <w:t>项，通过标准固化业务规则，实现项目受理、文件编制、公告发布、投标开标、评审定标、资料存档等全流程标准化、电子化运行，提高了政府采购（线上）服务的公平性和效率性，市场主体满意度和获得感持续增强，多次被行业权威媒体报道，走出了一条以标准固规则、以数字提效能的政府采购线上服务融合发展路径。</w:t>
            </w:r>
          </w:p>
        </w:tc>
      </w:tr>
      <w:tr w14:paraId="5560E1FF">
        <w:tblPrEx>
          <w:tblCellMar>
            <w:top w:w="0" w:type="dxa"/>
            <w:left w:w="108" w:type="dxa"/>
            <w:bottom w:w="0" w:type="dxa"/>
            <w:right w:w="108" w:type="dxa"/>
          </w:tblCellMar>
        </w:tblPrEx>
        <w:trPr>
          <w:cantSplit/>
          <w:trHeight w:val="2948" w:hRule="atLeast"/>
          <w:jc w:val="center"/>
        </w:trPr>
        <w:tc>
          <w:tcPr>
            <w:tcW w:w="810" w:type="dxa"/>
            <w:tcBorders>
              <w:top w:val="single" w:color="000000" w:sz="4" w:space="0"/>
              <w:left w:val="single" w:color="000000" w:sz="4" w:space="0"/>
              <w:bottom w:val="single" w:color="000000" w:sz="4" w:space="0"/>
              <w:right w:val="single" w:color="000000" w:sz="4" w:space="0"/>
            </w:tcBorders>
            <w:vAlign w:val="center"/>
          </w:tcPr>
          <w:p w14:paraId="04922DF3">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4</w:t>
            </w:r>
          </w:p>
        </w:tc>
        <w:tc>
          <w:tcPr>
            <w:tcW w:w="2989" w:type="dxa"/>
            <w:tcBorders>
              <w:top w:val="single" w:color="000000" w:sz="4" w:space="0"/>
              <w:left w:val="single" w:color="000000" w:sz="4" w:space="0"/>
              <w:bottom w:val="single" w:color="000000" w:sz="4" w:space="0"/>
              <w:right w:val="single" w:color="000000" w:sz="4" w:space="0"/>
            </w:tcBorders>
            <w:vAlign w:val="center"/>
          </w:tcPr>
          <w:p w14:paraId="2CFABBB2">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以标准化监测筑牢智慧广电底座——山东有线“享</w:t>
            </w:r>
            <w:r>
              <w:rPr>
                <w:rStyle w:val="10"/>
                <w:color w:val="auto"/>
                <w:sz w:val="21"/>
                <w:szCs w:val="21"/>
                <w:lang w:bidi="ar"/>
              </w:rPr>
              <w:t>TV”</w:t>
            </w:r>
            <w:r>
              <w:rPr>
                <w:rStyle w:val="9"/>
                <w:rFonts w:hint="default" w:ascii="Times New Roman" w:hAnsi="Times New Roman" w:cs="Times New Roman"/>
                <w:color w:val="auto"/>
                <w:sz w:val="21"/>
                <w:szCs w:val="21"/>
                <w:lang w:bidi="ar"/>
              </w:rPr>
              <w:t>监测系统创新应用实践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AB2D">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山东省广播电视监测中心</w:t>
            </w:r>
          </w:p>
        </w:tc>
        <w:tc>
          <w:tcPr>
            <w:tcW w:w="8059" w:type="dxa"/>
            <w:tcBorders>
              <w:top w:val="single" w:color="000000" w:sz="4" w:space="0"/>
              <w:left w:val="single" w:color="000000" w:sz="4" w:space="0"/>
              <w:bottom w:val="single" w:color="000000" w:sz="4" w:space="0"/>
              <w:right w:val="single" w:color="000000" w:sz="4" w:space="0"/>
            </w:tcBorders>
            <w:vAlign w:val="center"/>
          </w:tcPr>
          <w:p w14:paraId="2C180973">
            <w:pPr>
              <w:widowControl/>
              <w:spacing w:line="360" w:lineRule="exac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山东有线</w:t>
            </w:r>
            <w:r>
              <w:rPr>
                <w:rStyle w:val="10"/>
                <w:color w:val="auto"/>
                <w:sz w:val="21"/>
                <w:szCs w:val="21"/>
                <w:lang w:bidi="ar"/>
              </w:rPr>
              <w:t>“</w:t>
            </w:r>
            <w:r>
              <w:rPr>
                <w:rStyle w:val="9"/>
                <w:rFonts w:hint="default" w:ascii="Times New Roman" w:hAnsi="Times New Roman" w:cs="Times New Roman"/>
                <w:color w:val="auto"/>
                <w:sz w:val="21"/>
                <w:szCs w:val="21"/>
                <w:lang w:bidi="ar"/>
              </w:rPr>
              <w:t>享</w:t>
            </w:r>
            <w:r>
              <w:rPr>
                <w:rStyle w:val="10"/>
                <w:color w:val="auto"/>
                <w:sz w:val="21"/>
                <w:szCs w:val="21"/>
                <w:lang w:bidi="ar"/>
              </w:rPr>
              <w:t>TV”</w:t>
            </w:r>
            <w:r>
              <w:rPr>
                <w:rStyle w:val="9"/>
                <w:rFonts w:hint="default" w:ascii="Times New Roman" w:hAnsi="Times New Roman" w:cs="Times New Roman"/>
                <w:color w:val="auto"/>
                <w:sz w:val="21"/>
                <w:szCs w:val="21"/>
                <w:lang w:bidi="ar"/>
              </w:rPr>
              <w:t>平台承担中央及部分省级卫视</w:t>
            </w:r>
            <w:r>
              <w:rPr>
                <w:rStyle w:val="10"/>
                <w:color w:val="auto"/>
                <w:sz w:val="21"/>
                <w:szCs w:val="21"/>
                <w:lang w:bidi="ar"/>
              </w:rPr>
              <w:t>4K</w:t>
            </w:r>
            <w:r>
              <w:rPr>
                <w:rStyle w:val="9"/>
                <w:rFonts w:hint="default" w:ascii="Times New Roman" w:hAnsi="Times New Roman" w:cs="Times New Roman"/>
                <w:color w:val="auto"/>
                <w:sz w:val="21"/>
                <w:szCs w:val="21"/>
                <w:lang w:bidi="ar"/>
              </w:rPr>
              <w:t>超高清节目播出任务，针对省级监测层面</w:t>
            </w:r>
            <w:r>
              <w:rPr>
                <w:rStyle w:val="10"/>
                <w:color w:val="auto"/>
                <w:sz w:val="21"/>
                <w:szCs w:val="21"/>
                <w:lang w:bidi="ar"/>
              </w:rPr>
              <w:t>4K</w:t>
            </w:r>
            <w:r>
              <w:rPr>
                <w:rStyle w:val="9"/>
                <w:rFonts w:hint="default" w:ascii="Times New Roman" w:hAnsi="Times New Roman" w:cs="Times New Roman"/>
                <w:color w:val="auto"/>
                <w:sz w:val="21"/>
                <w:szCs w:val="21"/>
                <w:lang w:bidi="ar"/>
              </w:rPr>
              <w:t>超高清节目播出质量不高、传播效果监测技术手段不足等问题，严格对标相关法规规范，依托数字山东标准体系，建设一体化节目监测系统，实现了对</w:t>
            </w:r>
            <w:r>
              <w:rPr>
                <w:rStyle w:val="10"/>
                <w:color w:val="auto"/>
                <w:sz w:val="21"/>
                <w:szCs w:val="21"/>
                <w:lang w:bidi="ar"/>
              </w:rPr>
              <w:t>240</w:t>
            </w:r>
            <w:r>
              <w:rPr>
                <w:rStyle w:val="9"/>
                <w:rFonts w:hint="default" w:ascii="Times New Roman" w:hAnsi="Times New Roman" w:cs="Times New Roman"/>
                <w:color w:val="auto"/>
                <w:sz w:val="21"/>
                <w:szCs w:val="21"/>
                <w:lang w:bidi="ar"/>
              </w:rPr>
              <w:t>套中心平台信源信号、全省</w:t>
            </w:r>
            <w:r>
              <w:rPr>
                <w:rStyle w:val="10"/>
                <w:color w:val="auto"/>
                <w:sz w:val="21"/>
                <w:szCs w:val="21"/>
                <w:lang w:bidi="ar"/>
              </w:rPr>
              <w:t>16</w:t>
            </w:r>
            <w:r>
              <w:rPr>
                <w:rStyle w:val="9"/>
                <w:rFonts w:hint="default" w:ascii="Times New Roman" w:hAnsi="Times New Roman" w:cs="Times New Roman"/>
                <w:color w:val="auto"/>
                <w:sz w:val="21"/>
                <w:szCs w:val="21"/>
                <w:lang w:bidi="ar"/>
              </w:rPr>
              <w:t>市</w:t>
            </w:r>
            <w:r>
              <w:rPr>
                <w:rStyle w:val="10"/>
                <w:color w:val="auto"/>
                <w:sz w:val="21"/>
                <w:szCs w:val="21"/>
                <w:lang w:bidi="ar"/>
              </w:rPr>
              <w:t>160</w:t>
            </w:r>
            <w:r>
              <w:rPr>
                <w:rStyle w:val="9"/>
                <w:rFonts w:hint="default" w:ascii="Times New Roman" w:hAnsi="Times New Roman" w:cs="Times New Roman"/>
                <w:color w:val="auto"/>
                <w:sz w:val="21"/>
                <w:szCs w:val="21"/>
                <w:lang w:bidi="ar"/>
              </w:rPr>
              <w:t>套直播信号的监测覆盖。系统采用</w:t>
            </w:r>
            <w:r>
              <w:rPr>
                <w:rStyle w:val="10"/>
                <w:color w:val="auto"/>
                <w:sz w:val="21"/>
                <w:szCs w:val="21"/>
                <w:lang w:bidi="ar"/>
              </w:rPr>
              <w:t>“</w:t>
            </w:r>
            <w:r>
              <w:rPr>
                <w:rStyle w:val="9"/>
                <w:rFonts w:hint="default" w:ascii="Times New Roman" w:hAnsi="Times New Roman" w:cs="Times New Roman"/>
                <w:color w:val="auto"/>
                <w:sz w:val="21"/>
                <w:szCs w:val="21"/>
                <w:lang w:bidi="ar"/>
              </w:rPr>
              <w:t>集中部署</w:t>
            </w:r>
            <w:r>
              <w:rPr>
                <w:rStyle w:val="10"/>
                <w:color w:val="auto"/>
                <w:sz w:val="21"/>
                <w:szCs w:val="21"/>
                <w:lang w:bidi="ar"/>
              </w:rPr>
              <w:t>+</w:t>
            </w:r>
            <w:r>
              <w:rPr>
                <w:rStyle w:val="9"/>
                <w:rFonts w:hint="default" w:ascii="Times New Roman" w:hAnsi="Times New Roman" w:cs="Times New Roman"/>
                <w:color w:val="auto"/>
                <w:sz w:val="21"/>
                <w:szCs w:val="21"/>
                <w:lang w:bidi="ar"/>
              </w:rPr>
              <w:t>分布式监测</w:t>
            </w:r>
            <w:r>
              <w:rPr>
                <w:rStyle w:val="10"/>
                <w:color w:val="auto"/>
                <w:sz w:val="21"/>
                <w:szCs w:val="21"/>
                <w:lang w:bidi="ar"/>
              </w:rPr>
              <w:t>”</w:t>
            </w:r>
            <w:r>
              <w:rPr>
                <w:rStyle w:val="9"/>
                <w:rFonts w:hint="default" w:ascii="Times New Roman" w:hAnsi="Times New Roman" w:cs="Times New Roman"/>
                <w:color w:val="auto"/>
                <w:sz w:val="21"/>
                <w:szCs w:val="21"/>
                <w:lang w:bidi="ar"/>
              </w:rPr>
              <w:t>标准化建设模式，采用</w:t>
            </w:r>
            <w:r>
              <w:rPr>
                <w:rStyle w:val="10"/>
                <w:color w:val="auto"/>
                <w:sz w:val="21"/>
                <w:szCs w:val="21"/>
                <w:lang w:bidi="ar"/>
              </w:rPr>
              <w:t>HTTPS+JSON</w:t>
            </w:r>
            <w:r>
              <w:rPr>
                <w:rStyle w:val="9"/>
                <w:rFonts w:hint="default" w:ascii="Times New Roman" w:hAnsi="Times New Roman" w:cs="Times New Roman"/>
                <w:color w:val="auto"/>
                <w:sz w:val="21"/>
                <w:szCs w:val="21"/>
                <w:lang w:bidi="ar"/>
              </w:rPr>
              <w:t>标准接口协议，实现了与现有业务系统对接互通，统一了数据交互规范，提升了跨系统数据互通能力。硬件遵循国际及国家标准，软件依据广电行业技术标准完成全业务信号采集与功能实现，构建</w:t>
            </w:r>
            <w:r>
              <w:rPr>
                <w:rStyle w:val="10"/>
                <w:color w:val="auto"/>
                <w:sz w:val="21"/>
                <w:szCs w:val="21"/>
                <w:lang w:bidi="ar"/>
              </w:rPr>
              <w:t>4K</w:t>
            </w:r>
            <w:r>
              <w:rPr>
                <w:rStyle w:val="9"/>
                <w:rFonts w:hint="default" w:ascii="Times New Roman" w:hAnsi="Times New Roman" w:cs="Times New Roman"/>
                <w:color w:val="auto"/>
                <w:sz w:val="21"/>
                <w:szCs w:val="21"/>
                <w:lang w:bidi="ar"/>
              </w:rPr>
              <w:t>超高清监测全流程标准化体系，形成可复制的建设规范与业务模式，有效提升了安全播出监管标准化水平。</w:t>
            </w:r>
          </w:p>
        </w:tc>
      </w:tr>
      <w:tr w14:paraId="4F720282">
        <w:tblPrEx>
          <w:tblCellMar>
            <w:top w:w="0" w:type="dxa"/>
            <w:left w:w="108" w:type="dxa"/>
            <w:bottom w:w="0" w:type="dxa"/>
            <w:right w:w="108" w:type="dxa"/>
          </w:tblCellMar>
        </w:tblPrEx>
        <w:trPr>
          <w:cantSplit/>
          <w:trHeight w:val="2691" w:hRule="atLeast"/>
          <w:jc w:val="center"/>
        </w:trPr>
        <w:tc>
          <w:tcPr>
            <w:tcW w:w="810" w:type="dxa"/>
            <w:tcBorders>
              <w:top w:val="single" w:color="000000" w:sz="4" w:space="0"/>
              <w:left w:val="single" w:color="000000" w:sz="4" w:space="0"/>
              <w:bottom w:val="single" w:color="000000" w:sz="4" w:space="0"/>
              <w:right w:val="single" w:color="000000" w:sz="4" w:space="0"/>
            </w:tcBorders>
            <w:vAlign w:val="center"/>
          </w:tcPr>
          <w:p w14:paraId="272CF223">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5</w:t>
            </w:r>
          </w:p>
        </w:tc>
        <w:tc>
          <w:tcPr>
            <w:tcW w:w="2989" w:type="dxa"/>
            <w:tcBorders>
              <w:top w:val="single" w:color="000000" w:sz="4" w:space="0"/>
              <w:left w:val="single" w:color="000000" w:sz="4" w:space="0"/>
              <w:bottom w:val="single" w:color="000000" w:sz="4" w:space="0"/>
              <w:right w:val="single" w:color="000000" w:sz="4" w:space="0"/>
            </w:tcBorders>
            <w:vAlign w:val="center"/>
          </w:tcPr>
          <w:p w14:paraId="5A2B98F0">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标准支撑伦理治理，护航检察智能化安全发展</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63CC">
            <w:pPr>
              <w:widowControl/>
              <w:spacing w:line="360" w:lineRule="exact"/>
              <w:jc w:val="center"/>
              <w:textAlignment w:val="center"/>
              <w:rPr>
                <w:rStyle w:val="7"/>
                <w:rFonts w:hint="default" w:ascii="Times New Roman" w:hAnsi="Times New Roman" w:cs="Times New Roman"/>
                <w:color w:val="auto"/>
                <w:sz w:val="21"/>
                <w:szCs w:val="21"/>
                <w:lang w:bidi="ar"/>
              </w:rPr>
            </w:pPr>
            <w:r>
              <w:rPr>
                <w:rStyle w:val="7"/>
                <w:rFonts w:hint="default" w:ascii="Times New Roman" w:hAnsi="Times New Roman" w:cs="Times New Roman"/>
                <w:color w:val="auto"/>
                <w:sz w:val="21"/>
                <w:szCs w:val="21"/>
                <w:lang w:bidi="ar"/>
              </w:rPr>
              <w:t>山东省人民</w:t>
            </w:r>
          </w:p>
          <w:p w14:paraId="2E2CB196">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检察院</w:t>
            </w:r>
          </w:p>
        </w:tc>
        <w:tc>
          <w:tcPr>
            <w:tcW w:w="8059" w:type="dxa"/>
            <w:tcBorders>
              <w:top w:val="single" w:color="000000" w:sz="4" w:space="0"/>
              <w:left w:val="single" w:color="000000" w:sz="4" w:space="0"/>
              <w:bottom w:val="single" w:color="000000" w:sz="4" w:space="0"/>
              <w:right w:val="single" w:color="000000" w:sz="4" w:space="0"/>
            </w:tcBorders>
            <w:vAlign w:val="center"/>
          </w:tcPr>
          <w:p w14:paraId="54BC0836">
            <w:pPr>
              <w:widowControl/>
              <w:spacing w:line="360" w:lineRule="exac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山东省人民检察院在检察智能化建设中，部署了</w:t>
            </w:r>
            <w:r>
              <w:rPr>
                <w:rStyle w:val="10"/>
                <w:color w:val="auto"/>
                <w:sz w:val="21"/>
                <w:szCs w:val="21"/>
                <w:lang w:bidi="ar"/>
              </w:rPr>
              <w:t>7</w:t>
            </w:r>
            <w:r>
              <w:rPr>
                <w:rStyle w:val="9"/>
                <w:rFonts w:hint="default" w:ascii="Times New Roman" w:hAnsi="Times New Roman" w:cs="Times New Roman"/>
                <w:color w:val="auto"/>
                <w:sz w:val="21"/>
                <w:szCs w:val="21"/>
                <w:lang w:bidi="ar"/>
              </w:rPr>
              <w:t>罪名</w:t>
            </w:r>
            <w:r>
              <w:rPr>
                <w:rStyle w:val="10"/>
                <w:color w:val="auto"/>
                <w:sz w:val="21"/>
                <w:szCs w:val="21"/>
                <w:lang w:bidi="ar"/>
              </w:rPr>
              <w:t>8</w:t>
            </w:r>
            <w:r>
              <w:rPr>
                <w:rStyle w:val="9"/>
                <w:rFonts w:hint="default" w:ascii="Times New Roman" w:hAnsi="Times New Roman" w:cs="Times New Roman"/>
                <w:color w:val="auto"/>
                <w:sz w:val="21"/>
                <w:szCs w:val="21"/>
                <w:lang w:bidi="ar"/>
              </w:rPr>
              <w:t>场景智能辅助刑事检察办案系统，覆盖全省</w:t>
            </w:r>
            <w:r>
              <w:rPr>
                <w:rStyle w:val="10"/>
                <w:color w:val="auto"/>
                <w:sz w:val="21"/>
                <w:szCs w:val="21"/>
                <w:lang w:bidi="ar"/>
              </w:rPr>
              <w:t>177</w:t>
            </w:r>
            <w:r>
              <w:rPr>
                <w:rStyle w:val="9"/>
                <w:rFonts w:hint="default" w:ascii="Times New Roman" w:hAnsi="Times New Roman" w:cs="Times New Roman"/>
                <w:color w:val="auto"/>
                <w:sz w:val="21"/>
                <w:szCs w:val="21"/>
                <w:lang w:bidi="ar"/>
              </w:rPr>
              <w:t>个检察机关。建设遵循山东省地方标准《人工智能技术应用伦理风险的治理要求》（</w:t>
            </w:r>
            <w:r>
              <w:rPr>
                <w:rStyle w:val="10"/>
                <w:color w:val="auto"/>
                <w:sz w:val="21"/>
                <w:szCs w:val="21"/>
                <w:lang w:bidi="ar"/>
              </w:rPr>
              <w:t>DB37/T 4845—2025</w:t>
            </w:r>
            <w:r>
              <w:rPr>
                <w:rStyle w:val="9"/>
                <w:rFonts w:hint="default" w:ascii="Times New Roman" w:hAnsi="Times New Roman" w:cs="Times New Roman"/>
                <w:color w:val="auto"/>
                <w:sz w:val="21"/>
                <w:szCs w:val="21"/>
                <w:lang w:bidi="ar"/>
              </w:rPr>
              <w:t>），将以人为本、可控可信、透明可追溯、责任明确、隐私保护等标准要求融入系统设计开发、全省部署、业务应用全流程。通过设置</w:t>
            </w:r>
            <w:r>
              <w:rPr>
                <w:rStyle w:val="10"/>
                <w:color w:val="auto"/>
                <w:sz w:val="21"/>
                <w:szCs w:val="21"/>
                <w:lang w:bidi="ar"/>
              </w:rPr>
              <w:t>AI</w:t>
            </w:r>
            <w:r>
              <w:rPr>
                <w:rStyle w:val="9"/>
                <w:rFonts w:hint="default" w:ascii="Times New Roman" w:hAnsi="Times New Roman" w:cs="Times New Roman"/>
                <w:color w:val="auto"/>
                <w:sz w:val="21"/>
                <w:szCs w:val="21"/>
                <w:lang w:bidi="ar"/>
              </w:rPr>
              <w:t>输出强制人工核验节点、全链路调用留痕溯源、</w:t>
            </w:r>
            <w:r>
              <w:rPr>
                <w:rStyle w:val="10"/>
                <w:color w:val="auto"/>
                <w:sz w:val="21"/>
                <w:szCs w:val="21"/>
                <w:lang w:bidi="ar"/>
              </w:rPr>
              <w:t>AI</w:t>
            </w:r>
            <w:r>
              <w:rPr>
                <w:rStyle w:val="9"/>
                <w:rFonts w:hint="default" w:ascii="Times New Roman" w:hAnsi="Times New Roman" w:cs="Times New Roman"/>
                <w:color w:val="auto"/>
                <w:sz w:val="21"/>
                <w:szCs w:val="21"/>
                <w:lang w:bidi="ar"/>
              </w:rPr>
              <w:t>输出显著标识、办案数据隐私保护等措施，厘清人机司法责任边界，有效防控大模型幻觉、算法偏见、数据泄露等安全风险。通过标准化智能应用，数字卷宗覆盖率提升至</w:t>
            </w:r>
            <w:r>
              <w:rPr>
                <w:rStyle w:val="10"/>
                <w:color w:val="auto"/>
                <w:sz w:val="21"/>
                <w:szCs w:val="21"/>
                <w:lang w:bidi="ar"/>
              </w:rPr>
              <w:t>94.15%</w:t>
            </w:r>
            <w:r>
              <w:rPr>
                <w:rStyle w:val="9"/>
                <w:rFonts w:hint="default" w:ascii="Times New Roman" w:hAnsi="Times New Roman" w:cs="Times New Roman"/>
                <w:color w:val="auto"/>
                <w:sz w:val="21"/>
                <w:szCs w:val="21"/>
                <w:lang w:bidi="ar"/>
              </w:rPr>
              <w:t>，办案整体效率提升</w:t>
            </w:r>
            <w:r>
              <w:rPr>
                <w:rStyle w:val="10"/>
                <w:color w:val="auto"/>
                <w:sz w:val="21"/>
                <w:szCs w:val="21"/>
                <w:lang w:bidi="ar"/>
              </w:rPr>
              <w:t>35.82%</w:t>
            </w:r>
            <w:r>
              <w:rPr>
                <w:rStyle w:val="9"/>
                <w:rFonts w:hint="default" w:ascii="Times New Roman" w:hAnsi="Times New Roman" w:cs="Times New Roman"/>
                <w:color w:val="auto"/>
                <w:sz w:val="21"/>
                <w:szCs w:val="21"/>
                <w:lang w:bidi="ar"/>
              </w:rPr>
              <w:t>，实现以人工智能安全可控赋能全省检察办案。</w:t>
            </w:r>
          </w:p>
        </w:tc>
      </w:tr>
      <w:tr w14:paraId="2660AE96">
        <w:tblPrEx>
          <w:tblCellMar>
            <w:top w:w="0" w:type="dxa"/>
            <w:left w:w="108" w:type="dxa"/>
            <w:bottom w:w="0" w:type="dxa"/>
            <w:right w:w="108" w:type="dxa"/>
          </w:tblCellMar>
        </w:tblPrEx>
        <w:trPr>
          <w:cantSplit/>
          <w:trHeight w:val="2856" w:hRule="atLeast"/>
          <w:jc w:val="center"/>
        </w:trPr>
        <w:tc>
          <w:tcPr>
            <w:tcW w:w="810" w:type="dxa"/>
            <w:tcBorders>
              <w:top w:val="single" w:color="000000" w:sz="4" w:space="0"/>
              <w:left w:val="single" w:color="000000" w:sz="4" w:space="0"/>
              <w:bottom w:val="single" w:color="000000" w:sz="4" w:space="0"/>
              <w:right w:val="single" w:color="000000" w:sz="4" w:space="0"/>
            </w:tcBorders>
            <w:vAlign w:val="center"/>
          </w:tcPr>
          <w:p w14:paraId="0DAD7750">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6</w:t>
            </w:r>
          </w:p>
        </w:tc>
        <w:tc>
          <w:tcPr>
            <w:tcW w:w="2989" w:type="dxa"/>
            <w:tcBorders>
              <w:top w:val="single" w:color="000000" w:sz="4" w:space="0"/>
              <w:left w:val="single" w:color="000000" w:sz="4" w:space="0"/>
              <w:bottom w:val="single" w:color="000000" w:sz="4" w:space="0"/>
              <w:right w:val="single" w:color="000000" w:sz="4" w:space="0"/>
            </w:tcBorders>
            <w:vAlign w:val="center"/>
          </w:tcPr>
          <w:p w14:paraId="63B015E8">
            <w:pPr>
              <w:widowControl/>
              <w:spacing w:line="360" w:lineRule="exact"/>
              <w:jc w:val="left"/>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以《数据知识产权确权指南》为标尺，健全数据知识产权全链条保护体系</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27840">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山东省知识产权保护中心</w:t>
            </w:r>
          </w:p>
        </w:tc>
        <w:tc>
          <w:tcPr>
            <w:tcW w:w="8059" w:type="dxa"/>
            <w:tcBorders>
              <w:top w:val="single" w:color="000000" w:sz="4" w:space="0"/>
              <w:left w:val="single" w:color="000000" w:sz="4" w:space="0"/>
              <w:bottom w:val="single" w:color="000000" w:sz="4" w:space="0"/>
              <w:right w:val="single" w:color="000000" w:sz="4" w:space="0"/>
            </w:tcBorders>
            <w:vAlign w:val="center"/>
          </w:tcPr>
          <w:p w14:paraId="27E176EC">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山东省知识产权保护中心针对数据知识产权登记中权属边界模糊、确权判定口径不一、市场主体申请登记无统一操作指引等问题，牵头编制了山东省地方标准《数据知识产权确权指南》（</w:t>
            </w:r>
            <w:r>
              <w:rPr>
                <w:rStyle w:val="10"/>
                <w:color w:val="auto"/>
                <w:sz w:val="21"/>
                <w:szCs w:val="21"/>
                <w:lang w:bidi="ar"/>
              </w:rPr>
              <w:t>DB37/T 4877—2025</w:t>
            </w:r>
            <w:r>
              <w:rPr>
                <w:rStyle w:val="9"/>
                <w:rFonts w:hint="default" w:ascii="Times New Roman" w:hAnsi="Times New Roman" w:cs="Times New Roman"/>
                <w:color w:val="auto"/>
                <w:sz w:val="21"/>
                <w:szCs w:val="21"/>
                <w:lang w:bidi="ar"/>
              </w:rPr>
              <w:t>），明确数据知识产权确权的定义、内容要求和办理流程，为全省数据知识产权登记审查、市场主体数据合规确权提供统一规范依据。依托标准落地，创新打造</w:t>
            </w:r>
            <w:r>
              <w:rPr>
                <w:rStyle w:val="10"/>
                <w:color w:val="auto"/>
                <w:sz w:val="21"/>
                <w:szCs w:val="21"/>
                <w:lang w:bidi="ar"/>
              </w:rPr>
              <w:t>“</w:t>
            </w:r>
            <w:r>
              <w:rPr>
                <w:rStyle w:val="9"/>
                <w:rFonts w:hint="default" w:ascii="Times New Roman" w:hAnsi="Times New Roman" w:cs="Times New Roman"/>
                <w:color w:val="auto"/>
                <w:sz w:val="21"/>
                <w:szCs w:val="21"/>
                <w:lang w:bidi="ar"/>
              </w:rPr>
              <w:t>初审</w:t>
            </w:r>
            <w:r>
              <w:rPr>
                <w:rStyle w:val="10"/>
                <w:color w:val="auto"/>
                <w:sz w:val="21"/>
                <w:szCs w:val="21"/>
                <w:lang w:bidi="ar"/>
              </w:rPr>
              <w:t>+</w:t>
            </w:r>
            <w:r>
              <w:rPr>
                <w:rStyle w:val="9"/>
                <w:rFonts w:hint="default" w:ascii="Times New Roman" w:hAnsi="Times New Roman" w:cs="Times New Roman"/>
                <w:color w:val="auto"/>
                <w:sz w:val="21"/>
                <w:szCs w:val="21"/>
                <w:lang w:bidi="ar"/>
              </w:rPr>
              <w:t>复审</w:t>
            </w:r>
            <w:r>
              <w:rPr>
                <w:rStyle w:val="10"/>
                <w:color w:val="auto"/>
                <w:sz w:val="21"/>
                <w:szCs w:val="21"/>
                <w:lang w:bidi="ar"/>
              </w:rPr>
              <w:t>”</w:t>
            </w:r>
            <w:r>
              <w:rPr>
                <w:rStyle w:val="9"/>
                <w:rFonts w:hint="default" w:ascii="Times New Roman" w:hAnsi="Times New Roman" w:cs="Times New Roman"/>
                <w:color w:val="auto"/>
                <w:sz w:val="21"/>
                <w:szCs w:val="21"/>
                <w:lang w:bidi="ar"/>
              </w:rPr>
              <w:t>实质审查登记模式，迭代升级山东省数据知识产权登记平台</w:t>
            </w:r>
            <w:r>
              <w:rPr>
                <w:rStyle w:val="10"/>
                <w:color w:val="auto"/>
                <w:sz w:val="21"/>
                <w:szCs w:val="21"/>
                <w:lang w:bidi="ar"/>
              </w:rPr>
              <w:t>3.0</w:t>
            </w:r>
            <w:r>
              <w:rPr>
                <w:rStyle w:val="9"/>
                <w:rFonts w:hint="default" w:ascii="Times New Roman" w:hAnsi="Times New Roman" w:cs="Times New Roman"/>
                <w:color w:val="auto"/>
                <w:sz w:val="21"/>
                <w:szCs w:val="21"/>
                <w:lang w:bidi="ar"/>
              </w:rPr>
              <w:t>版本，在全国率先完成登记平台央地对接和全国首批地方数据知识产权审查员培训。截至</w:t>
            </w:r>
            <w:r>
              <w:rPr>
                <w:rStyle w:val="10"/>
                <w:color w:val="auto"/>
                <w:sz w:val="21"/>
                <w:szCs w:val="21"/>
                <w:lang w:bidi="ar"/>
              </w:rPr>
              <w:t>2026</w:t>
            </w:r>
            <w:r>
              <w:rPr>
                <w:rStyle w:val="9"/>
                <w:rFonts w:hint="default" w:ascii="Times New Roman" w:hAnsi="Times New Roman" w:cs="Times New Roman"/>
                <w:color w:val="auto"/>
                <w:sz w:val="21"/>
                <w:szCs w:val="21"/>
                <w:lang w:bidi="ar"/>
              </w:rPr>
              <w:t>年</w:t>
            </w:r>
            <w:r>
              <w:rPr>
                <w:rStyle w:val="10"/>
                <w:color w:val="auto"/>
                <w:sz w:val="21"/>
                <w:szCs w:val="21"/>
                <w:lang w:bidi="ar"/>
              </w:rPr>
              <w:t>8</w:t>
            </w:r>
            <w:r>
              <w:rPr>
                <w:rStyle w:val="9"/>
                <w:rFonts w:hint="default" w:ascii="Times New Roman" w:hAnsi="Times New Roman" w:cs="Times New Roman"/>
                <w:color w:val="auto"/>
                <w:sz w:val="21"/>
                <w:szCs w:val="21"/>
                <w:lang w:bidi="ar"/>
              </w:rPr>
              <w:t>月，全省累计核发数据知识产权证书</w:t>
            </w:r>
            <w:r>
              <w:rPr>
                <w:rStyle w:val="10"/>
                <w:color w:val="auto"/>
                <w:sz w:val="21"/>
                <w:szCs w:val="21"/>
                <w:lang w:bidi="ar"/>
              </w:rPr>
              <w:t>708</w:t>
            </w:r>
            <w:r>
              <w:rPr>
                <w:rStyle w:val="9"/>
                <w:rFonts w:hint="default" w:ascii="Times New Roman" w:hAnsi="Times New Roman" w:cs="Times New Roman"/>
                <w:color w:val="auto"/>
                <w:sz w:val="21"/>
                <w:szCs w:val="21"/>
                <w:lang w:bidi="ar"/>
              </w:rPr>
              <w:t>张，质押融资总金额突破</w:t>
            </w:r>
            <w:r>
              <w:rPr>
                <w:rStyle w:val="10"/>
                <w:color w:val="auto"/>
                <w:sz w:val="21"/>
                <w:szCs w:val="21"/>
                <w:lang w:bidi="ar"/>
              </w:rPr>
              <w:t>1.25</w:t>
            </w:r>
            <w:r>
              <w:rPr>
                <w:rStyle w:val="9"/>
                <w:rFonts w:hint="default" w:ascii="Times New Roman" w:hAnsi="Times New Roman" w:cs="Times New Roman"/>
                <w:color w:val="auto"/>
                <w:sz w:val="21"/>
                <w:szCs w:val="21"/>
                <w:lang w:bidi="ar"/>
              </w:rPr>
              <w:t>亿元，有效打通数据确权</w:t>
            </w:r>
            <w:r>
              <w:rPr>
                <w:rStyle w:val="10"/>
                <w:color w:val="auto"/>
                <w:sz w:val="21"/>
                <w:szCs w:val="21"/>
                <w:lang w:bidi="ar"/>
              </w:rPr>
              <w:t>—</w:t>
            </w:r>
            <w:r>
              <w:rPr>
                <w:rStyle w:val="9"/>
                <w:rFonts w:hint="default" w:ascii="Times New Roman" w:hAnsi="Times New Roman" w:cs="Times New Roman"/>
                <w:color w:val="auto"/>
                <w:sz w:val="21"/>
                <w:szCs w:val="21"/>
                <w:lang w:bidi="ar"/>
              </w:rPr>
              <w:t>登记</w:t>
            </w:r>
            <w:r>
              <w:rPr>
                <w:rStyle w:val="10"/>
                <w:color w:val="auto"/>
                <w:sz w:val="21"/>
                <w:szCs w:val="21"/>
                <w:lang w:bidi="ar"/>
              </w:rPr>
              <w:t>—</w:t>
            </w:r>
            <w:r>
              <w:rPr>
                <w:rStyle w:val="9"/>
                <w:rFonts w:hint="default" w:ascii="Times New Roman" w:hAnsi="Times New Roman" w:cs="Times New Roman"/>
                <w:color w:val="auto"/>
                <w:sz w:val="21"/>
                <w:szCs w:val="21"/>
                <w:lang w:bidi="ar"/>
              </w:rPr>
              <w:t>流通</w:t>
            </w:r>
            <w:r>
              <w:rPr>
                <w:rStyle w:val="10"/>
                <w:color w:val="auto"/>
                <w:sz w:val="21"/>
                <w:szCs w:val="21"/>
                <w:lang w:bidi="ar"/>
              </w:rPr>
              <w:t>—</w:t>
            </w:r>
            <w:r>
              <w:rPr>
                <w:rStyle w:val="9"/>
                <w:rFonts w:hint="default" w:ascii="Times New Roman" w:hAnsi="Times New Roman" w:cs="Times New Roman"/>
                <w:color w:val="auto"/>
                <w:sz w:val="21"/>
                <w:szCs w:val="21"/>
                <w:lang w:bidi="ar"/>
              </w:rPr>
              <w:t>价值实现全链路。</w:t>
            </w:r>
          </w:p>
        </w:tc>
      </w:tr>
      <w:tr w14:paraId="4C784CF2">
        <w:tblPrEx>
          <w:tblCellMar>
            <w:top w:w="0" w:type="dxa"/>
            <w:left w:w="108" w:type="dxa"/>
            <w:bottom w:w="0" w:type="dxa"/>
            <w:right w:w="108" w:type="dxa"/>
          </w:tblCellMar>
        </w:tblPrEx>
        <w:trPr>
          <w:cantSplit/>
          <w:trHeight w:val="2550" w:hRule="atLeast"/>
          <w:jc w:val="center"/>
        </w:trPr>
        <w:tc>
          <w:tcPr>
            <w:tcW w:w="810" w:type="dxa"/>
            <w:tcBorders>
              <w:top w:val="single" w:color="000000" w:sz="4" w:space="0"/>
              <w:left w:val="single" w:color="000000" w:sz="4" w:space="0"/>
              <w:bottom w:val="single" w:color="000000" w:sz="4" w:space="0"/>
              <w:right w:val="single" w:color="000000" w:sz="4" w:space="0"/>
            </w:tcBorders>
            <w:vAlign w:val="center"/>
          </w:tcPr>
          <w:p w14:paraId="4D70D7A5">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7</w:t>
            </w:r>
          </w:p>
        </w:tc>
        <w:tc>
          <w:tcPr>
            <w:tcW w:w="2989" w:type="dxa"/>
            <w:tcBorders>
              <w:top w:val="single" w:color="000000" w:sz="4" w:space="0"/>
              <w:left w:val="single" w:color="000000" w:sz="4" w:space="0"/>
              <w:bottom w:val="single" w:color="000000" w:sz="4" w:space="0"/>
              <w:right w:val="single" w:color="000000" w:sz="4" w:space="0"/>
            </w:tcBorders>
            <w:vAlign w:val="center"/>
          </w:tcPr>
          <w:p w14:paraId="452233F4">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统一标准，集约平台——党校云助力全省党校一体化建设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66DB">
            <w:pPr>
              <w:widowControl/>
              <w:spacing w:line="360" w:lineRule="exact"/>
              <w:jc w:val="center"/>
              <w:textAlignment w:val="center"/>
              <w:rPr>
                <w:rFonts w:ascii="Times New Roman" w:hAnsi="Times New Roman" w:cs="Times New Roman"/>
                <w:color w:val="auto"/>
                <w:kern w:val="0"/>
                <w:sz w:val="21"/>
                <w:szCs w:val="21"/>
                <w:lang w:bidi="ar"/>
              </w:rPr>
            </w:pPr>
            <w:r>
              <w:rPr>
                <w:rFonts w:ascii="Times New Roman" w:hAnsi="Times New Roman" w:cs="Times New Roman"/>
                <w:color w:val="auto"/>
                <w:kern w:val="0"/>
                <w:sz w:val="21"/>
                <w:szCs w:val="21"/>
                <w:lang w:bidi="ar"/>
              </w:rPr>
              <w:t>中共山东省委</w:t>
            </w:r>
          </w:p>
          <w:p w14:paraId="201C83DF">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党校（山东行政学院）</w:t>
            </w:r>
          </w:p>
        </w:tc>
        <w:tc>
          <w:tcPr>
            <w:tcW w:w="8059" w:type="dxa"/>
            <w:tcBorders>
              <w:top w:val="single" w:color="000000" w:sz="4" w:space="0"/>
              <w:left w:val="single" w:color="000000" w:sz="4" w:space="0"/>
              <w:bottom w:val="single" w:color="000000" w:sz="4" w:space="0"/>
              <w:right w:val="single" w:color="000000" w:sz="4" w:space="0"/>
            </w:tcBorders>
            <w:vAlign w:val="center"/>
          </w:tcPr>
          <w:p w14:paraId="0B5AD5D4">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中共山东省委党校（山东行政学院）针对全省党校系统信息化建设标准不一、数据孤岛、资源分散、发展不均衡等痛点，坚持标准先行，牵头制定《全省党校系统数据标准》《全省党校（行政学院）系统智慧校园建设标准》《全省</w:t>
            </w:r>
            <w:r>
              <w:rPr>
                <w:rStyle w:val="10"/>
                <w:color w:val="auto"/>
                <w:sz w:val="21"/>
                <w:szCs w:val="21"/>
                <w:lang w:bidi="ar"/>
              </w:rPr>
              <w:t>“</w:t>
            </w:r>
            <w:r>
              <w:rPr>
                <w:rStyle w:val="9"/>
                <w:rFonts w:hint="default" w:ascii="Times New Roman" w:hAnsi="Times New Roman" w:cs="Times New Roman"/>
                <w:color w:val="auto"/>
                <w:sz w:val="21"/>
                <w:szCs w:val="21"/>
                <w:lang w:bidi="ar"/>
              </w:rPr>
              <w:t>党校云</w:t>
            </w:r>
            <w:r>
              <w:rPr>
                <w:rStyle w:val="10"/>
                <w:color w:val="auto"/>
                <w:sz w:val="21"/>
                <w:szCs w:val="21"/>
                <w:lang w:bidi="ar"/>
              </w:rPr>
              <w:t>”</w:t>
            </w:r>
            <w:r>
              <w:rPr>
                <w:rStyle w:val="9"/>
                <w:rFonts w:hint="default" w:ascii="Times New Roman" w:hAnsi="Times New Roman" w:cs="Times New Roman"/>
                <w:color w:val="auto"/>
                <w:sz w:val="21"/>
                <w:szCs w:val="21"/>
                <w:lang w:bidi="ar"/>
              </w:rPr>
              <w:t>平台应用接入标准》等</w:t>
            </w:r>
            <w:r>
              <w:rPr>
                <w:rStyle w:val="10"/>
                <w:color w:val="auto"/>
                <w:sz w:val="21"/>
                <w:szCs w:val="21"/>
                <w:lang w:bidi="ar"/>
              </w:rPr>
              <w:t>3</w:t>
            </w:r>
            <w:r>
              <w:rPr>
                <w:rStyle w:val="9"/>
                <w:rFonts w:hint="default" w:ascii="Times New Roman" w:hAnsi="Times New Roman" w:cs="Times New Roman"/>
                <w:color w:val="auto"/>
                <w:sz w:val="21"/>
                <w:szCs w:val="21"/>
                <w:lang w:bidi="ar"/>
              </w:rPr>
              <w:t>项专属数据标准，严格对标信创国产化、网络安全等国家标准，统筹建设全省党校一体化智慧云平台。围绕数据、业务、建设运维三大标准体系，统一数据元、编码规则、交换格式与接入规范，打通省市县三级数据壁垒，采用云原生</w:t>
            </w:r>
            <w:r>
              <w:rPr>
                <w:rStyle w:val="10"/>
                <w:color w:val="auto"/>
                <w:sz w:val="21"/>
                <w:szCs w:val="21"/>
                <w:lang w:bidi="ar"/>
              </w:rPr>
              <w:t>SaaS</w:t>
            </w:r>
            <w:r>
              <w:rPr>
                <w:rStyle w:val="9"/>
                <w:rFonts w:hint="default" w:ascii="Times New Roman" w:hAnsi="Times New Roman" w:cs="Times New Roman"/>
                <w:color w:val="auto"/>
                <w:sz w:val="21"/>
                <w:szCs w:val="21"/>
                <w:lang w:bidi="ar"/>
              </w:rPr>
              <w:t>架构省级集约建设，有效提升了全省党校系统教学科研管理水平，推动党校事业内涵式高质量发展。</w:t>
            </w:r>
          </w:p>
        </w:tc>
      </w:tr>
      <w:tr w14:paraId="3AE12A7B">
        <w:tblPrEx>
          <w:tblCellMar>
            <w:top w:w="0" w:type="dxa"/>
            <w:left w:w="108" w:type="dxa"/>
            <w:bottom w:w="0" w:type="dxa"/>
            <w:right w:w="108" w:type="dxa"/>
          </w:tblCellMar>
        </w:tblPrEx>
        <w:trPr>
          <w:cantSplit/>
          <w:trHeight w:val="2478" w:hRule="atLeast"/>
          <w:jc w:val="center"/>
        </w:trPr>
        <w:tc>
          <w:tcPr>
            <w:tcW w:w="810" w:type="dxa"/>
            <w:tcBorders>
              <w:top w:val="single" w:color="000000" w:sz="4" w:space="0"/>
              <w:left w:val="single" w:color="000000" w:sz="4" w:space="0"/>
              <w:bottom w:val="single" w:color="000000" w:sz="4" w:space="0"/>
              <w:right w:val="single" w:color="000000" w:sz="4" w:space="0"/>
            </w:tcBorders>
            <w:vAlign w:val="center"/>
          </w:tcPr>
          <w:p w14:paraId="76CADEFA">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8</w:t>
            </w:r>
          </w:p>
        </w:tc>
        <w:tc>
          <w:tcPr>
            <w:tcW w:w="2989" w:type="dxa"/>
            <w:tcBorders>
              <w:top w:val="single" w:color="000000" w:sz="4" w:space="0"/>
              <w:left w:val="single" w:color="000000" w:sz="4" w:space="0"/>
              <w:bottom w:val="single" w:color="000000" w:sz="4" w:space="0"/>
              <w:right w:val="single" w:color="000000" w:sz="4" w:space="0"/>
            </w:tcBorders>
            <w:vAlign w:val="center"/>
          </w:tcPr>
          <w:p w14:paraId="51B34941">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以标准定标尺</w:t>
            </w:r>
            <w:r>
              <w:rPr>
                <w:rStyle w:val="11"/>
                <w:rFonts w:hint="default" w:ascii="Times New Roman" w:hAnsi="Times New Roman" w:eastAsia="仿宋_GB2312" w:cs="Times New Roman"/>
                <w:color w:val="auto"/>
                <w:sz w:val="21"/>
                <w:szCs w:val="21"/>
                <w:lang w:bidi="ar"/>
              </w:rPr>
              <w:t>，</w:t>
            </w:r>
            <w:r>
              <w:rPr>
                <w:rStyle w:val="9"/>
                <w:rFonts w:hint="default" w:ascii="Times New Roman" w:hAnsi="Times New Roman" w:cs="Times New Roman"/>
                <w:color w:val="auto"/>
                <w:sz w:val="21"/>
                <w:szCs w:val="21"/>
                <w:lang w:bidi="ar"/>
              </w:rPr>
              <w:t>以评估促提升——数字山东一体化网络安全能力建设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03C3">
            <w:pPr>
              <w:widowControl/>
              <w:spacing w:line="360" w:lineRule="exact"/>
              <w:jc w:val="center"/>
              <w:textAlignment w:val="center"/>
              <w:rPr>
                <w:rFonts w:ascii="Times New Roman" w:hAnsi="Times New Roman" w:cs="Times New Roman"/>
                <w:color w:val="auto"/>
                <w:kern w:val="0"/>
                <w:sz w:val="21"/>
                <w:szCs w:val="21"/>
                <w:lang w:bidi="ar"/>
              </w:rPr>
            </w:pPr>
            <w:r>
              <w:rPr>
                <w:rFonts w:ascii="Times New Roman" w:hAnsi="Times New Roman" w:cs="Times New Roman"/>
                <w:color w:val="auto"/>
                <w:kern w:val="0"/>
                <w:sz w:val="21"/>
                <w:szCs w:val="21"/>
                <w:lang w:bidi="ar"/>
              </w:rPr>
              <w:t>中共山东省委</w:t>
            </w:r>
          </w:p>
          <w:p w14:paraId="652D0CDA">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网络安全和信息化委员会办公室</w:t>
            </w:r>
          </w:p>
        </w:tc>
        <w:tc>
          <w:tcPr>
            <w:tcW w:w="8059" w:type="dxa"/>
            <w:tcBorders>
              <w:top w:val="single" w:color="000000" w:sz="4" w:space="0"/>
              <w:left w:val="single" w:color="000000" w:sz="4" w:space="0"/>
              <w:bottom w:val="single" w:color="000000" w:sz="4" w:space="0"/>
              <w:right w:val="single" w:color="000000" w:sz="4" w:space="0"/>
            </w:tcBorders>
            <w:vAlign w:val="center"/>
          </w:tcPr>
          <w:p w14:paraId="6EB74601">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中共山东省委网络安全和信息化委员会办公室主导编制了山东省地方标准《智慧城市网络安全建设和评估指南》（</w:t>
            </w:r>
            <w:r>
              <w:rPr>
                <w:rStyle w:val="10"/>
                <w:color w:val="auto"/>
                <w:sz w:val="21"/>
                <w:szCs w:val="21"/>
                <w:lang w:bidi="ar"/>
              </w:rPr>
              <w:t>DB37/T 4550—2022</w:t>
            </w:r>
            <w:r>
              <w:rPr>
                <w:rStyle w:val="9"/>
                <w:rFonts w:hint="default" w:ascii="Times New Roman" w:hAnsi="Times New Roman" w:cs="Times New Roman"/>
                <w:color w:val="auto"/>
                <w:sz w:val="21"/>
                <w:szCs w:val="21"/>
                <w:lang w:bidi="ar"/>
              </w:rPr>
              <w:t>），系统阐述了网络安全建设要求和评价指标，明确了网络安全保障体系和能力重点建设内容，把</w:t>
            </w:r>
            <w:r>
              <w:rPr>
                <w:rStyle w:val="10"/>
                <w:color w:val="auto"/>
                <w:sz w:val="21"/>
                <w:szCs w:val="21"/>
                <w:lang w:bidi="ar"/>
              </w:rPr>
              <w:t>“</w:t>
            </w:r>
            <w:r>
              <w:rPr>
                <w:rStyle w:val="9"/>
                <w:rFonts w:hint="default" w:ascii="Times New Roman" w:hAnsi="Times New Roman" w:cs="Times New Roman"/>
                <w:color w:val="auto"/>
                <w:sz w:val="21"/>
                <w:szCs w:val="21"/>
                <w:lang w:bidi="ar"/>
              </w:rPr>
              <w:t>看不见、摸不着</w:t>
            </w:r>
            <w:r>
              <w:rPr>
                <w:rStyle w:val="10"/>
                <w:color w:val="auto"/>
                <w:sz w:val="21"/>
                <w:szCs w:val="21"/>
                <w:lang w:bidi="ar"/>
              </w:rPr>
              <w:t>”</w:t>
            </w:r>
            <w:r>
              <w:rPr>
                <w:rStyle w:val="9"/>
                <w:rFonts w:hint="default" w:ascii="Times New Roman" w:hAnsi="Times New Roman" w:cs="Times New Roman"/>
                <w:color w:val="auto"/>
                <w:sz w:val="21"/>
                <w:szCs w:val="21"/>
                <w:lang w:bidi="ar"/>
              </w:rPr>
              <w:t>的网络安全能力转化为可量化评估的指标体系，有效解决全省缺乏新型智慧城市网络安全工作顶层指引和指导性评价规范等问题。依据该标准，在全国率先开展新型智慧城市网络安全建设评估，通过建立</w:t>
            </w:r>
            <w:r>
              <w:rPr>
                <w:rStyle w:val="10"/>
                <w:color w:val="auto"/>
                <w:sz w:val="21"/>
                <w:szCs w:val="21"/>
                <w:lang w:bidi="ar"/>
              </w:rPr>
              <w:t>“</w:t>
            </w:r>
            <w:r>
              <w:rPr>
                <w:rStyle w:val="9"/>
                <w:rFonts w:hint="default" w:ascii="Times New Roman" w:hAnsi="Times New Roman" w:cs="Times New Roman"/>
                <w:color w:val="auto"/>
                <w:sz w:val="21"/>
                <w:szCs w:val="21"/>
                <w:lang w:bidi="ar"/>
              </w:rPr>
              <w:t>标准化指标引导</w:t>
            </w:r>
            <w:r>
              <w:rPr>
                <w:rStyle w:val="10"/>
                <w:color w:val="auto"/>
                <w:sz w:val="21"/>
                <w:szCs w:val="21"/>
                <w:lang w:bidi="ar"/>
              </w:rPr>
              <w:t>”</w:t>
            </w:r>
            <w:r>
              <w:rPr>
                <w:rStyle w:val="9"/>
                <w:rFonts w:hint="default" w:ascii="Times New Roman" w:hAnsi="Times New Roman" w:cs="Times New Roman"/>
                <w:color w:val="auto"/>
                <w:sz w:val="21"/>
                <w:szCs w:val="21"/>
                <w:lang w:bidi="ar"/>
              </w:rPr>
              <w:t>新型管理模式，推动网络安全管理由被动向主动转变，持续推动网络安全一体化中心试点建设，不断提升智慧城市整体安全防护能力，为全国提供可复制可推广的</w:t>
            </w:r>
            <w:r>
              <w:rPr>
                <w:rStyle w:val="10"/>
                <w:color w:val="auto"/>
                <w:sz w:val="21"/>
                <w:szCs w:val="21"/>
                <w:lang w:bidi="ar"/>
              </w:rPr>
              <w:t>“</w:t>
            </w:r>
            <w:r>
              <w:rPr>
                <w:rStyle w:val="9"/>
                <w:rFonts w:hint="default" w:ascii="Times New Roman" w:hAnsi="Times New Roman" w:cs="Times New Roman"/>
                <w:color w:val="auto"/>
                <w:sz w:val="21"/>
                <w:szCs w:val="21"/>
                <w:lang w:bidi="ar"/>
              </w:rPr>
              <w:t>山东经验</w:t>
            </w:r>
            <w:r>
              <w:rPr>
                <w:rStyle w:val="10"/>
                <w:color w:val="auto"/>
                <w:sz w:val="21"/>
                <w:szCs w:val="21"/>
                <w:lang w:bidi="ar"/>
              </w:rPr>
              <w:t>”</w:t>
            </w:r>
            <w:r>
              <w:rPr>
                <w:rStyle w:val="9"/>
                <w:rFonts w:hint="default" w:ascii="Times New Roman" w:hAnsi="Times New Roman" w:cs="Times New Roman"/>
                <w:color w:val="auto"/>
                <w:sz w:val="21"/>
                <w:szCs w:val="21"/>
                <w:lang w:bidi="ar"/>
              </w:rPr>
              <w:t>。</w:t>
            </w:r>
          </w:p>
        </w:tc>
      </w:tr>
      <w:tr w14:paraId="0FF0EE77">
        <w:tblPrEx>
          <w:tblCellMar>
            <w:top w:w="0" w:type="dxa"/>
            <w:left w:w="108" w:type="dxa"/>
            <w:bottom w:w="0" w:type="dxa"/>
            <w:right w:w="108" w:type="dxa"/>
          </w:tblCellMar>
        </w:tblPrEx>
        <w:trPr>
          <w:cantSplit/>
          <w:trHeight w:val="3190" w:hRule="atLeast"/>
          <w:jc w:val="center"/>
        </w:trPr>
        <w:tc>
          <w:tcPr>
            <w:tcW w:w="810" w:type="dxa"/>
            <w:tcBorders>
              <w:top w:val="single" w:color="000000" w:sz="4" w:space="0"/>
              <w:left w:val="single" w:color="000000" w:sz="4" w:space="0"/>
              <w:bottom w:val="single" w:color="000000" w:sz="4" w:space="0"/>
              <w:right w:val="single" w:color="000000" w:sz="4" w:space="0"/>
            </w:tcBorders>
            <w:vAlign w:val="center"/>
          </w:tcPr>
          <w:p w14:paraId="69879287">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9</w:t>
            </w:r>
          </w:p>
        </w:tc>
        <w:tc>
          <w:tcPr>
            <w:tcW w:w="2989" w:type="dxa"/>
            <w:tcBorders>
              <w:top w:val="single" w:color="000000" w:sz="4" w:space="0"/>
              <w:left w:val="single" w:color="000000" w:sz="4" w:space="0"/>
              <w:bottom w:val="single" w:color="000000" w:sz="4" w:space="0"/>
              <w:right w:val="single" w:color="000000" w:sz="4" w:space="0"/>
            </w:tcBorders>
            <w:vAlign w:val="center"/>
          </w:tcPr>
          <w:p w14:paraId="0AB033AD">
            <w:pPr>
              <w:widowControl/>
              <w:spacing w:line="360" w:lineRule="exact"/>
              <w:jc w:val="left"/>
              <w:textAlignment w:val="center"/>
              <w:rPr>
                <w:rStyle w:val="9"/>
                <w:rFonts w:hint="default" w:ascii="Times New Roman" w:hAnsi="Times New Roman" w:cs="Times New Roman"/>
                <w:color w:val="auto"/>
                <w:sz w:val="21"/>
                <w:szCs w:val="21"/>
                <w:lang w:bidi="ar"/>
              </w:rPr>
            </w:pPr>
            <w:r>
              <w:rPr>
                <w:rStyle w:val="9"/>
                <w:rFonts w:hint="default" w:ascii="Times New Roman" w:hAnsi="Times New Roman" w:cs="Times New Roman"/>
                <w:color w:val="auto"/>
                <w:sz w:val="21"/>
                <w:szCs w:val="21"/>
                <w:lang w:bidi="ar"/>
              </w:rPr>
              <w:t>标准明边界，技术保安全</w:t>
            </w:r>
          </w:p>
          <w:p w14:paraId="6E39B91A">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——医保数据可控应用标准助力多层次医保协同发展</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E3E5">
            <w:pPr>
              <w:widowControl/>
              <w:spacing w:line="360" w:lineRule="exact"/>
              <w:jc w:val="center"/>
              <w:textAlignment w:val="center"/>
              <w:rPr>
                <w:rFonts w:ascii="Times New Roman" w:hAnsi="Times New Roman" w:cs="Times New Roman"/>
                <w:color w:val="auto"/>
                <w:kern w:val="0"/>
                <w:sz w:val="21"/>
                <w:szCs w:val="21"/>
                <w:lang w:bidi="ar"/>
              </w:rPr>
            </w:pPr>
            <w:r>
              <w:rPr>
                <w:rFonts w:ascii="Times New Roman" w:hAnsi="Times New Roman" w:cs="Times New Roman"/>
                <w:color w:val="auto"/>
                <w:kern w:val="0"/>
                <w:sz w:val="21"/>
                <w:szCs w:val="21"/>
                <w:lang w:bidi="ar"/>
              </w:rPr>
              <w:t>山东省医疗</w:t>
            </w:r>
          </w:p>
          <w:p w14:paraId="3D88F2F2">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保障局</w:t>
            </w:r>
          </w:p>
        </w:tc>
        <w:tc>
          <w:tcPr>
            <w:tcW w:w="8059" w:type="dxa"/>
            <w:tcBorders>
              <w:top w:val="single" w:color="000000" w:sz="4" w:space="0"/>
              <w:left w:val="single" w:color="000000" w:sz="4" w:space="0"/>
              <w:bottom w:val="single" w:color="000000" w:sz="4" w:space="0"/>
              <w:right w:val="single" w:color="000000" w:sz="4" w:space="0"/>
            </w:tcBorders>
            <w:vAlign w:val="center"/>
          </w:tcPr>
          <w:p w14:paraId="05EF3D93">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为统一业务流程、规范数据应用、筑牢安全底线，山东省医疗保障局牵头编制了山东省地方标准《基于区块链技术的医保数据应用规范》（</w:t>
            </w:r>
            <w:r>
              <w:rPr>
                <w:rStyle w:val="10"/>
                <w:color w:val="auto"/>
                <w:sz w:val="21"/>
                <w:szCs w:val="21"/>
                <w:lang w:bidi="ar"/>
              </w:rPr>
              <w:t>DB37/T 4948—2025</w:t>
            </w:r>
            <w:r>
              <w:rPr>
                <w:rStyle w:val="9"/>
                <w:rFonts w:hint="default" w:ascii="Times New Roman" w:hAnsi="Times New Roman" w:cs="Times New Roman"/>
                <w:color w:val="auto"/>
                <w:sz w:val="21"/>
                <w:szCs w:val="21"/>
                <w:lang w:bidi="ar"/>
              </w:rPr>
              <w:t>），积极推进标准宣贯与落地应用。同步配套制定《基本医疗保险与定制型商业医疗保险</w:t>
            </w:r>
            <w:r>
              <w:rPr>
                <w:rStyle w:val="10"/>
                <w:color w:val="auto"/>
                <w:sz w:val="21"/>
                <w:szCs w:val="21"/>
                <w:lang w:bidi="ar"/>
              </w:rPr>
              <w:t>“</w:t>
            </w:r>
            <w:r>
              <w:rPr>
                <w:rStyle w:val="9"/>
                <w:rFonts w:hint="default" w:ascii="Times New Roman" w:hAnsi="Times New Roman" w:cs="Times New Roman"/>
                <w:color w:val="auto"/>
                <w:sz w:val="21"/>
                <w:szCs w:val="21"/>
                <w:lang w:bidi="ar"/>
              </w:rPr>
              <w:t>一站式</w:t>
            </w:r>
            <w:r>
              <w:rPr>
                <w:rStyle w:val="10"/>
                <w:color w:val="auto"/>
                <w:sz w:val="21"/>
                <w:szCs w:val="21"/>
                <w:lang w:bidi="ar"/>
              </w:rPr>
              <w:t>”</w:t>
            </w:r>
            <w:r>
              <w:rPr>
                <w:rStyle w:val="9"/>
                <w:rFonts w:hint="default" w:ascii="Times New Roman" w:hAnsi="Times New Roman" w:cs="Times New Roman"/>
                <w:color w:val="auto"/>
                <w:sz w:val="21"/>
                <w:szCs w:val="21"/>
                <w:lang w:bidi="ar"/>
              </w:rPr>
              <w:t>服务技术规范》，构建</w:t>
            </w:r>
            <w:r>
              <w:rPr>
                <w:rStyle w:val="10"/>
                <w:color w:val="auto"/>
                <w:sz w:val="21"/>
                <w:szCs w:val="21"/>
                <w:lang w:bidi="ar"/>
              </w:rPr>
              <w:t>“</w:t>
            </w:r>
            <w:r>
              <w:rPr>
                <w:rStyle w:val="9"/>
                <w:rFonts w:hint="default" w:ascii="Times New Roman" w:hAnsi="Times New Roman" w:cs="Times New Roman"/>
                <w:color w:val="auto"/>
                <w:sz w:val="21"/>
                <w:szCs w:val="21"/>
                <w:lang w:bidi="ar"/>
              </w:rPr>
              <w:t>标准规范</w:t>
            </w:r>
            <w:r>
              <w:rPr>
                <w:rStyle w:val="10"/>
                <w:color w:val="auto"/>
                <w:sz w:val="21"/>
                <w:szCs w:val="21"/>
                <w:lang w:bidi="ar"/>
              </w:rPr>
              <w:t>+</w:t>
            </w:r>
            <w:r>
              <w:rPr>
                <w:rStyle w:val="9"/>
                <w:rFonts w:hint="default" w:ascii="Times New Roman" w:hAnsi="Times New Roman" w:cs="Times New Roman"/>
                <w:color w:val="auto"/>
                <w:sz w:val="21"/>
                <w:szCs w:val="21"/>
                <w:lang w:bidi="ar"/>
              </w:rPr>
              <w:t>技术支撑</w:t>
            </w:r>
            <w:r>
              <w:rPr>
                <w:rStyle w:val="10"/>
                <w:color w:val="auto"/>
                <w:sz w:val="21"/>
                <w:szCs w:val="21"/>
                <w:lang w:bidi="ar"/>
              </w:rPr>
              <w:t>+</w:t>
            </w:r>
            <w:r>
              <w:rPr>
                <w:rStyle w:val="9"/>
                <w:rFonts w:hint="default" w:ascii="Times New Roman" w:hAnsi="Times New Roman" w:cs="Times New Roman"/>
                <w:color w:val="auto"/>
                <w:sz w:val="21"/>
                <w:szCs w:val="21"/>
                <w:lang w:bidi="ar"/>
              </w:rPr>
              <w:t>精准授权</w:t>
            </w:r>
            <w:r>
              <w:rPr>
                <w:rStyle w:val="10"/>
                <w:color w:val="auto"/>
                <w:sz w:val="21"/>
                <w:szCs w:val="21"/>
                <w:lang w:bidi="ar"/>
              </w:rPr>
              <w:t>+</w:t>
            </w:r>
            <w:r>
              <w:rPr>
                <w:rStyle w:val="9"/>
                <w:rFonts w:hint="default" w:ascii="Times New Roman" w:hAnsi="Times New Roman" w:cs="Times New Roman"/>
                <w:color w:val="auto"/>
                <w:sz w:val="21"/>
                <w:szCs w:val="21"/>
                <w:lang w:bidi="ar"/>
              </w:rPr>
              <w:t>闭环监管</w:t>
            </w:r>
            <w:r>
              <w:rPr>
                <w:rStyle w:val="10"/>
                <w:color w:val="auto"/>
                <w:sz w:val="21"/>
                <w:szCs w:val="21"/>
                <w:lang w:bidi="ar"/>
              </w:rPr>
              <w:t>”</w:t>
            </w:r>
            <w:r>
              <w:rPr>
                <w:rStyle w:val="9"/>
                <w:rFonts w:hint="default" w:ascii="Times New Roman" w:hAnsi="Times New Roman" w:cs="Times New Roman"/>
                <w:color w:val="auto"/>
                <w:sz w:val="21"/>
                <w:szCs w:val="21"/>
                <w:lang w:bidi="ar"/>
              </w:rPr>
              <w:t>的标准化应用体系。以地方标准为建设蓝本，覆盖惠民保商保投保理赔、企业职工补充医疗报销等核心场景，通过标准化赋能，有效破解传统模式下医保数据隐私泄露风险、授权不规范、核验效率低、追溯监管难等问题，实现参保人数据自主管控、机构合规用数、部门全程监管，大幅压缩了业务办理时效，有效降低</w:t>
            </w:r>
            <w:r>
              <w:rPr>
                <w:rStyle w:val="9"/>
                <w:rFonts w:hint="eastAsia" w:ascii="Times New Roman" w:hAnsi="Times New Roman" w:cs="Times New Roman"/>
                <w:color w:val="auto"/>
                <w:sz w:val="21"/>
                <w:szCs w:val="21"/>
                <w:lang w:val="en-US" w:eastAsia="zh-CN" w:bidi="ar"/>
              </w:rPr>
              <w:t>了</w:t>
            </w:r>
            <w:r>
              <w:rPr>
                <w:rStyle w:val="9"/>
                <w:rFonts w:hint="default" w:ascii="Times New Roman" w:hAnsi="Times New Roman" w:cs="Times New Roman"/>
                <w:color w:val="auto"/>
                <w:sz w:val="21"/>
                <w:szCs w:val="21"/>
                <w:lang w:bidi="ar"/>
              </w:rPr>
              <w:t>各方办事成本，形成可复制、可推广的医保数据标准化应用山东模式，为全国医保数据要素安全合规流通提供了实践范本。</w:t>
            </w:r>
          </w:p>
        </w:tc>
      </w:tr>
      <w:tr w14:paraId="519517E3">
        <w:tblPrEx>
          <w:tblCellMar>
            <w:top w:w="0" w:type="dxa"/>
            <w:left w:w="108" w:type="dxa"/>
            <w:bottom w:w="0" w:type="dxa"/>
            <w:right w:w="108" w:type="dxa"/>
          </w:tblCellMar>
        </w:tblPrEx>
        <w:trPr>
          <w:cantSplit/>
          <w:trHeight w:val="2207" w:hRule="atLeast"/>
          <w:jc w:val="center"/>
        </w:trPr>
        <w:tc>
          <w:tcPr>
            <w:tcW w:w="810" w:type="dxa"/>
            <w:tcBorders>
              <w:top w:val="single" w:color="000000" w:sz="4" w:space="0"/>
              <w:left w:val="single" w:color="000000" w:sz="4" w:space="0"/>
              <w:bottom w:val="single" w:color="000000" w:sz="4" w:space="0"/>
              <w:right w:val="single" w:color="000000" w:sz="4" w:space="0"/>
            </w:tcBorders>
            <w:vAlign w:val="center"/>
          </w:tcPr>
          <w:p w14:paraId="4E8EC416">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10</w:t>
            </w:r>
          </w:p>
        </w:tc>
        <w:tc>
          <w:tcPr>
            <w:tcW w:w="2989" w:type="dxa"/>
            <w:tcBorders>
              <w:top w:val="single" w:color="000000" w:sz="4" w:space="0"/>
              <w:left w:val="single" w:color="000000" w:sz="4" w:space="0"/>
              <w:bottom w:val="single" w:color="000000" w:sz="4" w:space="0"/>
              <w:right w:val="single" w:color="000000" w:sz="4" w:space="0"/>
            </w:tcBorders>
            <w:vAlign w:val="center"/>
          </w:tcPr>
          <w:p w14:paraId="543652EE">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数智有规</w:t>
            </w:r>
            <w:r>
              <w:rPr>
                <w:rStyle w:val="9"/>
                <w:rFonts w:hint="eastAsia" w:ascii="Times New Roman" w:hAnsi="Times New Roman" w:cs="Times New Roman"/>
                <w:color w:val="auto"/>
                <w:sz w:val="21"/>
                <w:szCs w:val="21"/>
                <w:lang w:eastAsia="zh-CN" w:bidi="ar"/>
              </w:rPr>
              <w:t>，</w:t>
            </w:r>
            <w:r>
              <w:rPr>
                <w:rStyle w:val="9"/>
                <w:rFonts w:hint="default" w:ascii="Times New Roman" w:hAnsi="Times New Roman" w:cs="Times New Roman"/>
                <w:color w:val="auto"/>
                <w:sz w:val="21"/>
                <w:szCs w:val="21"/>
                <w:lang w:bidi="ar"/>
              </w:rPr>
              <w:t>模算有序——山东公安大数据共享与数据模型管理标准化实践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615F">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山东省公安厅</w:t>
            </w:r>
          </w:p>
        </w:tc>
        <w:tc>
          <w:tcPr>
            <w:tcW w:w="8059" w:type="dxa"/>
            <w:tcBorders>
              <w:top w:val="single" w:color="000000" w:sz="4" w:space="0"/>
              <w:left w:val="single" w:color="000000" w:sz="4" w:space="0"/>
              <w:bottom w:val="single" w:color="000000" w:sz="4" w:space="0"/>
              <w:right w:val="single" w:color="000000" w:sz="4" w:space="0"/>
            </w:tcBorders>
            <w:vAlign w:val="center"/>
          </w:tcPr>
          <w:p w14:paraId="27691560">
            <w:pPr>
              <w:widowControl/>
              <w:spacing w:line="360" w:lineRule="exact"/>
              <w:textAlignment w:val="top"/>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为提升全省公安大数据共享与应用效能，山东省公安厅针对数据下发和模型管理缺乏统一标准等问题，牵头制定了《公安数据下发要求（试行）》《公安数据模型（算法）管理和应用规范（试行）》</w:t>
            </w:r>
            <w:r>
              <w:rPr>
                <w:rStyle w:val="10"/>
                <w:color w:val="auto"/>
                <w:sz w:val="21"/>
                <w:szCs w:val="21"/>
                <w:lang w:bidi="ar"/>
              </w:rPr>
              <w:t>2</w:t>
            </w:r>
            <w:r>
              <w:rPr>
                <w:rStyle w:val="9"/>
                <w:rFonts w:hint="default" w:ascii="Times New Roman" w:hAnsi="Times New Roman" w:cs="Times New Roman"/>
                <w:color w:val="auto"/>
                <w:sz w:val="21"/>
                <w:szCs w:val="21"/>
                <w:lang w:bidi="ar"/>
              </w:rPr>
              <w:t>项公安大数据标准</w:t>
            </w:r>
            <w:r>
              <w:rPr>
                <w:rStyle w:val="7"/>
                <w:rFonts w:hint="default" w:ascii="Times New Roman" w:hAnsi="Times New Roman" w:cs="Times New Roman"/>
                <w:color w:val="auto"/>
                <w:sz w:val="21"/>
                <w:szCs w:val="21"/>
                <w:lang w:bidi="ar"/>
              </w:rPr>
              <w:t>。通过标准化建设，明确数据下发的总体架构、服务方式、下发类型及审批流程，建立统一下发与依申请下发相结合的机制，规范数据模型建设、发布、应用、评估优化和安全管控全流程管理。通过标准的实施，有效提升了全省公安数据共享效率和数据模型应用质量，为公安大数据智能化应用提供了坚实的标准支撑。</w:t>
            </w:r>
          </w:p>
        </w:tc>
      </w:tr>
      <w:tr w14:paraId="540248F3">
        <w:tblPrEx>
          <w:tblCellMar>
            <w:top w:w="0" w:type="dxa"/>
            <w:left w:w="108" w:type="dxa"/>
            <w:bottom w:w="0" w:type="dxa"/>
            <w:right w:w="108" w:type="dxa"/>
          </w:tblCellMar>
        </w:tblPrEx>
        <w:trPr>
          <w:cantSplit/>
          <w:trHeight w:val="2589" w:hRule="atLeast"/>
          <w:jc w:val="center"/>
        </w:trPr>
        <w:tc>
          <w:tcPr>
            <w:tcW w:w="810" w:type="dxa"/>
            <w:tcBorders>
              <w:top w:val="single" w:color="000000" w:sz="4" w:space="0"/>
              <w:left w:val="single" w:color="000000" w:sz="4" w:space="0"/>
              <w:bottom w:val="single" w:color="000000" w:sz="4" w:space="0"/>
              <w:right w:val="single" w:color="000000" w:sz="4" w:space="0"/>
            </w:tcBorders>
            <w:vAlign w:val="center"/>
          </w:tcPr>
          <w:p w14:paraId="7CEC96FA">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11</w:t>
            </w:r>
          </w:p>
        </w:tc>
        <w:tc>
          <w:tcPr>
            <w:tcW w:w="2989" w:type="dxa"/>
            <w:tcBorders>
              <w:top w:val="single" w:color="000000" w:sz="4" w:space="0"/>
              <w:left w:val="single" w:color="000000" w:sz="4" w:space="0"/>
              <w:bottom w:val="single" w:color="000000" w:sz="4" w:space="0"/>
              <w:right w:val="single" w:color="000000" w:sz="4" w:space="0"/>
            </w:tcBorders>
            <w:vAlign w:val="center"/>
          </w:tcPr>
          <w:p w14:paraId="49646FBE">
            <w:pPr>
              <w:widowControl/>
              <w:spacing w:line="360" w:lineRule="exact"/>
              <w:jc w:val="left"/>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标准引领</w:t>
            </w:r>
            <w:r>
              <w:rPr>
                <w:rStyle w:val="7"/>
                <w:rFonts w:hint="eastAsia" w:ascii="Times New Roman" w:hAnsi="Times New Roman" w:cs="Times New Roman"/>
                <w:color w:val="auto"/>
                <w:sz w:val="21"/>
                <w:szCs w:val="21"/>
                <w:lang w:eastAsia="zh-CN" w:bidi="ar"/>
              </w:rPr>
              <w:t>，</w:t>
            </w:r>
            <w:r>
              <w:rPr>
                <w:rStyle w:val="7"/>
                <w:rFonts w:hint="default" w:ascii="Times New Roman" w:hAnsi="Times New Roman" w:cs="Times New Roman"/>
                <w:color w:val="auto"/>
                <w:sz w:val="21"/>
                <w:szCs w:val="21"/>
                <w:lang w:bidi="ar"/>
              </w:rPr>
              <w:t>智能检测</w:t>
            </w:r>
            <w:r>
              <w:rPr>
                <w:rStyle w:val="9"/>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连铸坯表面质量在线检测系统技术规范应用</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D5BF">
            <w:pPr>
              <w:widowControl/>
              <w:spacing w:line="360" w:lineRule="exact"/>
              <w:jc w:val="center"/>
              <w:textAlignment w:val="center"/>
              <w:rPr>
                <w:rFonts w:ascii="Times New Roman" w:hAnsi="Times New Roman" w:cs="Times New Roman"/>
                <w:color w:val="auto"/>
                <w:kern w:val="0"/>
                <w:sz w:val="21"/>
                <w:szCs w:val="21"/>
                <w:lang w:bidi="ar"/>
              </w:rPr>
            </w:pPr>
            <w:r>
              <w:rPr>
                <w:rFonts w:ascii="Times New Roman" w:hAnsi="Times New Roman" w:cs="Times New Roman"/>
                <w:color w:val="auto"/>
                <w:kern w:val="0"/>
                <w:sz w:val="21"/>
                <w:szCs w:val="21"/>
                <w:lang w:bidi="ar"/>
              </w:rPr>
              <w:t>山东钢铁集团</w:t>
            </w:r>
          </w:p>
          <w:p w14:paraId="2B534A6A">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有限公司</w:t>
            </w:r>
          </w:p>
        </w:tc>
        <w:tc>
          <w:tcPr>
            <w:tcW w:w="8059" w:type="dxa"/>
            <w:tcBorders>
              <w:top w:val="single" w:color="000000" w:sz="4" w:space="0"/>
              <w:left w:val="single" w:color="000000" w:sz="4" w:space="0"/>
              <w:bottom w:val="single" w:color="000000" w:sz="4" w:space="0"/>
              <w:right w:val="single" w:color="000000" w:sz="4" w:space="0"/>
            </w:tcBorders>
            <w:vAlign w:val="center"/>
          </w:tcPr>
          <w:p w14:paraId="7AD33CE2">
            <w:pPr>
              <w:widowControl/>
              <w:spacing w:line="360" w:lineRule="exact"/>
              <w:textAlignment w:val="top"/>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针对传统连铸坯表面质量检测人工抽检评判标准不统一、质量控制不稳定、漏检率高等问题，山东钢铁集团有限公司主导制定行业标准《连铸坯表面质量在线检测系统技术要求》（</w:t>
            </w:r>
            <w:r>
              <w:rPr>
                <w:rStyle w:val="8"/>
                <w:rFonts w:hint="default" w:ascii="Times New Roman" w:hAnsi="Times New Roman" w:cs="Times New Roman"/>
                <w:color w:val="auto"/>
                <w:sz w:val="21"/>
                <w:szCs w:val="21"/>
                <w:lang w:bidi="ar"/>
              </w:rPr>
              <w:t>YB/T 6500—2026</w:t>
            </w:r>
            <w:r>
              <w:rPr>
                <w:rStyle w:val="7"/>
                <w:rFonts w:hint="default" w:ascii="Times New Roman" w:hAnsi="Times New Roman" w:cs="Times New Roman"/>
                <w:color w:val="auto"/>
                <w:sz w:val="21"/>
                <w:szCs w:val="21"/>
                <w:lang w:bidi="ar"/>
              </w:rPr>
              <w:t>），依托非接触感知、图像处理与人工智能技术，实现铸坯全表面实时缺陷识别、定位与分级，为系统设计、开发、应用提供统一技术规范，填补了我国连铸坯表面质量在线检测系统技术领域标准空白。标准实施后，系统检测精度达到</w:t>
            </w:r>
            <w:r>
              <w:rPr>
                <w:rStyle w:val="8"/>
                <w:rFonts w:hint="default" w:ascii="Times New Roman" w:hAnsi="Times New Roman" w:cs="Times New Roman"/>
                <w:color w:val="auto"/>
                <w:sz w:val="21"/>
                <w:szCs w:val="21"/>
                <w:lang w:bidi="ar"/>
              </w:rPr>
              <w:t>0.2mm/pixel</w:t>
            </w:r>
            <w:r>
              <w:rPr>
                <w:rStyle w:val="7"/>
                <w:rFonts w:hint="default" w:ascii="Times New Roman" w:hAnsi="Times New Roman" w:cs="Times New Roman"/>
                <w:color w:val="auto"/>
                <w:sz w:val="21"/>
                <w:szCs w:val="21"/>
                <w:lang w:bidi="ar"/>
              </w:rPr>
              <w:t>，表面缺陷率从</w:t>
            </w:r>
            <w:r>
              <w:rPr>
                <w:rStyle w:val="8"/>
                <w:rFonts w:hint="default" w:ascii="Times New Roman" w:hAnsi="Times New Roman" w:cs="Times New Roman"/>
                <w:color w:val="auto"/>
                <w:sz w:val="21"/>
                <w:szCs w:val="21"/>
                <w:lang w:bidi="ar"/>
              </w:rPr>
              <w:t>8.2%</w:t>
            </w:r>
            <w:r>
              <w:rPr>
                <w:rStyle w:val="7"/>
                <w:rFonts w:hint="default" w:ascii="Times New Roman" w:hAnsi="Times New Roman" w:cs="Times New Roman"/>
                <w:color w:val="auto"/>
                <w:sz w:val="21"/>
                <w:szCs w:val="21"/>
                <w:lang w:bidi="ar"/>
              </w:rPr>
              <w:t>下降到</w:t>
            </w:r>
            <w:r>
              <w:rPr>
                <w:rStyle w:val="8"/>
                <w:rFonts w:hint="default" w:ascii="Times New Roman" w:hAnsi="Times New Roman" w:cs="Times New Roman"/>
                <w:color w:val="auto"/>
                <w:sz w:val="21"/>
                <w:szCs w:val="21"/>
                <w:lang w:bidi="ar"/>
              </w:rPr>
              <w:t>2.7%</w:t>
            </w:r>
            <w:r>
              <w:rPr>
                <w:rStyle w:val="7"/>
                <w:rFonts w:hint="default" w:ascii="Times New Roman" w:hAnsi="Times New Roman" w:cs="Times New Roman"/>
                <w:color w:val="auto"/>
                <w:sz w:val="21"/>
                <w:szCs w:val="21"/>
                <w:lang w:bidi="ar"/>
              </w:rPr>
              <w:t>，质量预报准确率由</w:t>
            </w:r>
            <w:r>
              <w:rPr>
                <w:rStyle w:val="8"/>
                <w:rFonts w:hint="default" w:ascii="Times New Roman" w:hAnsi="Times New Roman" w:cs="Times New Roman"/>
                <w:color w:val="auto"/>
                <w:sz w:val="21"/>
                <w:szCs w:val="21"/>
                <w:lang w:bidi="ar"/>
              </w:rPr>
              <w:t>69.5%</w:t>
            </w:r>
            <w:r>
              <w:rPr>
                <w:rStyle w:val="7"/>
                <w:rFonts w:hint="default" w:ascii="Times New Roman" w:hAnsi="Times New Roman" w:cs="Times New Roman"/>
                <w:color w:val="auto"/>
                <w:sz w:val="21"/>
                <w:szCs w:val="21"/>
                <w:lang w:bidi="ar"/>
              </w:rPr>
              <w:t>提高至</w:t>
            </w:r>
            <w:r>
              <w:rPr>
                <w:rStyle w:val="8"/>
                <w:rFonts w:hint="default" w:ascii="Times New Roman" w:hAnsi="Times New Roman" w:cs="Times New Roman"/>
                <w:color w:val="auto"/>
                <w:sz w:val="21"/>
                <w:szCs w:val="21"/>
                <w:lang w:bidi="ar"/>
              </w:rPr>
              <w:t>93.56%</w:t>
            </w:r>
            <w:r>
              <w:rPr>
                <w:rStyle w:val="7"/>
                <w:rFonts w:hint="default" w:ascii="Times New Roman" w:hAnsi="Times New Roman" w:cs="Times New Roman"/>
                <w:color w:val="auto"/>
                <w:sz w:val="21"/>
                <w:szCs w:val="21"/>
                <w:lang w:bidi="ar"/>
              </w:rPr>
              <w:t>，降低生产成本达</w:t>
            </w:r>
            <w:r>
              <w:rPr>
                <w:rStyle w:val="8"/>
                <w:rFonts w:hint="default" w:ascii="Times New Roman" w:hAnsi="Times New Roman" w:cs="Times New Roman"/>
                <w:color w:val="auto"/>
                <w:sz w:val="21"/>
                <w:szCs w:val="21"/>
                <w:lang w:bidi="ar"/>
              </w:rPr>
              <w:t>2418.96</w:t>
            </w:r>
            <w:r>
              <w:rPr>
                <w:rStyle w:val="7"/>
                <w:rFonts w:hint="default" w:ascii="Times New Roman" w:hAnsi="Times New Roman" w:cs="Times New Roman"/>
                <w:color w:val="auto"/>
                <w:sz w:val="21"/>
                <w:szCs w:val="21"/>
                <w:lang w:bidi="ar"/>
              </w:rPr>
              <w:t>万元，经济效益显著，对推动钢铁行业连铸工序智能化升级具有重要指导意义。</w:t>
            </w:r>
          </w:p>
        </w:tc>
      </w:tr>
      <w:tr w14:paraId="01D67AA9">
        <w:tblPrEx>
          <w:tblCellMar>
            <w:top w:w="0" w:type="dxa"/>
            <w:left w:w="108" w:type="dxa"/>
            <w:bottom w:w="0" w:type="dxa"/>
            <w:right w:w="108" w:type="dxa"/>
          </w:tblCellMar>
        </w:tblPrEx>
        <w:trPr>
          <w:cantSplit/>
          <w:trHeight w:val="2589"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F280">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12</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F688">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孪生建模</w:t>
            </w:r>
            <w:r>
              <w:rPr>
                <w:rStyle w:val="9"/>
                <w:rFonts w:hint="eastAsia" w:ascii="Times New Roman" w:hAnsi="Times New Roman" w:cs="Times New Roman"/>
                <w:color w:val="auto"/>
                <w:sz w:val="21"/>
                <w:szCs w:val="21"/>
                <w:lang w:eastAsia="zh-CN" w:bidi="ar"/>
              </w:rPr>
              <w:t>，</w:t>
            </w:r>
            <w:r>
              <w:rPr>
                <w:rStyle w:val="9"/>
                <w:rFonts w:hint="default" w:ascii="Times New Roman" w:hAnsi="Times New Roman" w:cs="Times New Roman"/>
                <w:color w:val="auto"/>
                <w:sz w:val="21"/>
                <w:szCs w:val="21"/>
                <w:lang w:bidi="ar"/>
              </w:rPr>
              <w:t>标准护航——济南机场数字孪生模型构建与应用</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0F5C">
            <w:pPr>
              <w:widowControl/>
              <w:spacing w:line="360" w:lineRule="exact"/>
              <w:jc w:val="center"/>
              <w:textAlignment w:val="center"/>
              <w:rPr>
                <w:rStyle w:val="7"/>
                <w:rFonts w:hint="default" w:ascii="Times New Roman" w:hAnsi="Times New Roman" w:cs="Times New Roman"/>
                <w:color w:val="auto"/>
                <w:sz w:val="21"/>
                <w:szCs w:val="21"/>
                <w:lang w:bidi="ar"/>
              </w:rPr>
            </w:pPr>
            <w:r>
              <w:rPr>
                <w:rStyle w:val="7"/>
                <w:rFonts w:hint="default" w:ascii="Times New Roman" w:hAnsi="Times New Roman" w:cs="Times New Roman"/>
                <w:color w:val="auto"/>
                <w:sz w:val="21"/>
                <w:szCs w:val="21"/>
                <w:lang w:bidi="ar"/>
              </w:rPr>
              <w:t>山东机场信息</w:t>
            </w:r>
          </w:p>
          <w:p w14:paraId="26272EC3">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科技有限公司</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23BC">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济南遥墙机场二期改扩建是山东省重点工程，山东机场信息科技公司牵头建设数字孪生机场系统，联合浪潮智慧科技、中国民航大学等，编制了数字山东技术规范《数字孪生机场模型构建规范》（</w:t>
            </w:r>
            <w:r>
              <w:rPr>
                <w:rStyle w:val="10"/>
                <w:color w:val="auto"/>
                <w:sz w:val="21"/>
                <w:szCs w:val="21"/>
                <w:lang w:bidi="ar"/>
              </w:rPr>
              <w:t>SZSD 0041—2025</w:t>
            </w:r>
            <w:r>
              <w:rPr>
                <w:rStyle w:val="9"/>
                <w:rFonts w:hint="default" w:ascii="Times New Roman" w:hAnsi="Times New Roman" w:cs="Times New Roman"/>
                <w:color w:val="auto"/>
                <w:sz w:val="21"/>
                <w:szCs w:val="21"/>
                <w:lang w:bidi="ar"/>
              </w:rPr>
              <w:t>），严格对标标准确立的七项建模准则、四类模型要求及十步建模流程，在工程建设中推动标准落地，有效破解民航数字孪生领域模型标准不统一、编码不规范、多源数据难融合、建模精度难保障、跨系统难交互等共性难题。通过标准化赋能，建成</w:t>
            </w:r>
            <w:r>
              <w:rPr>
                <w:rStyle w:val="10"/>
                <w:color w:val="auto"/>
                <w:sz w:val="21"/>
                <w:szCs w:val="21"/>
                <w:lang w:bidi="ar"/>
              </w:rPr>
              <w:t>“</w:t>
            </w:r>
            <w:r>
              <w:rPr>
                <w:rStyle w:val="9"/>
                <w:rFonts w:hint="default" w:ascii="Times New Roman" w:hAnsi="Times New Roman" w:cs="Times New Roman"/>
                <w:color w:val="auto"/>
                <w:sz w:val="21"/>
                <w:szCs w:val="21"/>
                <w:lang w:bidi="ar"/>
              </w:rPr>
              <w:t>一底座、一服务、多应用</w:t>
            </w:r>
            <w:r>
              <w:rPr>
                <w:rStyle w:val="10"/>
                <w:color w:val="auto"/>
                <w:sz w:val="21"/>
                <w:szCs w:val="21"/>
                <w:lang w:bidi="ar"/>
              </w:rPr>
              <w:t>”</w:t>
            </w:r>
            <w:r>
              <w:rPr>
                <w:rStyle w:val="9"/>
                <w:rFonts w:hint="default" w:ascii="Times New Roman" w:hAnsi="Times New Roman" w:cs="Times New Roman"/>
                <w:color w:val="auto"/>
                <w:sz w:val="21"/>
                <w:szCs w:val="21"/>
                <w:lang w:bidi="ar"/>
              </w:rPr>
              <w:t>的数字孪生机场体系，实现实体枢纽与数字孪生资产同步交付，有力支撑航站楼运营、飞行区监控、航班延误处置等场景，为交通枢纽数字孪生项目提供可复制推广的标准化范式。</w:t>
            </w:r>
          </w:p>
        </w:tc>
      </w:tr>
      <w:tr w14:paraId="5D3E9A81">
        <w:tblPrEx>
          <w:tblCellMar>
            <w:top w:w="0" w:type="dxa"/>
            <w:left w:w="108" w:type="dxa"/>
            <w:bottom w:w="0" w:type="dxa"/>
            <w:right w:w="108" w:type="dxa"/>
          </w:tblCellMar>
        </w:tblPrEx>
        <w:trPr>
          <w:cantSplit/>
          <w:trHeight w:val="2284"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A275">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13</w:t>
            </w:r>
          </w:p>
        </w:tc>
        <w:tc>
          <w:tcPr>
            <w:tcW w:w="2989" w:type="dxa"/>
            <w:tcBorders>
              <w:top w:val="single" w:color="000000" w:sz="4" w:space="0"/>
              <w:left w:val="single" w:color="000000" w:sz="4" w:space="0"/>
              <w:bottom w:val="single" w:color="000000" w:sz="4" w:space="0"/>
              <w:right w:val="single" w:color="000000" w:sz="4" w:space="0"/>
            </w:tcBorders>
            <w:vAlign w:val="center"/>
          </w:tcPr>
          <w:p w14:paraId="3309DC00">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标准赋能数据要素流通，构建公共数据授权运营</w:t>
            </w:r>
            <w:r>
              <w:rPr>
                <w:rStyle w:val="10"/>
                <w:color w:val="auto"/>
                <w:sz w:val="21"/>
                <w:szCs w:val="21"/>
                <w:lang w:bidi="ar"/>
              </w:rPr>
              <w:t>“</w:t>
            </w:r>
            <w:r>
              <w:rPr>
                <w:rStyle w:val="9"/>
                <w:rFonts w:hint="default" w:ascii="Times New Roman" w:hAnsi="Times New Roman" w:cs="Times New Roman"/>
                <w:color w:val="auto"/>
                <w:sz w:val="21"/>
                <w:szCs w:val="21"/>
                <w:lang w:bidi="ar"/>
              </w:rPr>
              <w:t>济南模式</w:t>
            </w:r>
            <w:r>
              <w:rPr>
                <w:rStyle w:val="10"/>
                <w:color w:val="auto"/>
                <w:sz w:val="21"/>
                <w:szCs w:val="21"/>
                <w:lang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360A">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济南市大数据局</w:t>
            </w:r>
          </w:p>
        </w:tc>
        <w:tc>
          <w:tcPr>
            <w:tcW w:w="8059" w:type="dxa"/>
            <w:tcBorders>
              <w:top w:val="single" w:color="000000" w:sz="4" w:space="0"/>
              <w:left w:val="single" w:color="000000" w:sz="4" w:space="0"/>
              <w:bottom w:val="single" w:color="000000" w:sz="4" w:space="0"/>
              <w:right w:val="single" w:color="000000" w:sz="4" w:space="0"/>
            </w:tcBorders>
            <w:vAlign w:val="center"/>
          </w:tcPr>
          <w:p w14:paraId="05145DDC">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为规范开展公共数据资源授权运营，济南市贯彻应用数字山东技术规范《基于区块链的政务数据共享开放规范》（</w:t>
            </w:r>
            <w:r>
              <w:rPr>
                <w:rStyle w:val="10"/>
                <w:color w:val="auto"/>
                <w:sz w:val="21"/>
                <w:szCs w:val="21"/>
                <w:lang w:bidi="ar"/>
              </w:rPr>
              <w:t>SZSD01 0004—2022</w:t>
            </w:r>
            <w:r>
              <w:rPr>
                <w:rStyle w:val="9"/>
                <w:rFonts w:hint="default" w:ascii="Times New Roman" w:hAnsi="Times New Roman" w:cs="Times New Roman"/>
                <w:color w:val="auto"/>
                <w:sz w:val="21"/>
                <w:szCs w:val="21"/>
                <w:lang w:bidi="ar"/>
              </w:rPr>
              <w:t>），明确了个体公共数据精准授权应用、批量公共数据隐私计算处理应用的功能、流程、安全等方面要求，形成</w:t>
            </w:r>
            <w:r>
              <w:rPr>
                <w:rStyle w:val="10"/>
                <w:color w:val="auto"/>
                <w:sz w:val="21"/>
                <w:szCs w:val="21"/>
                <w:lang w:bidi="ar"/>
              </w:rPr>
              <w:t>“</w:t>
            </w:r>
            <w:r>
              <w:rPr>
                <w:rStyle w:val="9"/>
                <w:rFonts w:hint="default" w:ascii="Times New Roman" w:hAnsi="Times New Roman" w:cs="Times New Roman"/>
                <w:color w:val="auto"/>
                <w:sz w:val="21"/>
                <w:szCs w:val="21"/>
                <w:lang w:bidi="ar"/>
              </w:rPr>
              <w:t>个体数据精准授权、批量数据隐私计算</w:t>
            </w:r>
            <w:r>
              <w:rPr>
                <w:rStyle w:val="10"/>
                <w:color w:val="auto"/>
                <w:sz w:val="21"/>
                <w:szCs w:val="21"/>
                <w:lang w:bidi="ar"/>
              </w:rPr>
              <w:t>”的</w:t>
            </w:r>
            <w:r>
              <w:rPr>
                <w:rStyle w:val="9"/>
                <w:rFonts w:hint="default" w:ascii="Times New Roman" w:hAnsi="Times New Roman" w:cs="Times New Roman"/>
                <w:color w:val="auto"/>
                <w:sz w:val="21"/>
                <w:szCs w:val="21"/>
                <w:lang w:bidi="ar"/>
              </w:rPr>
              <w:t>数据服务模式。贯彻应用数字山东技术规范《数据要素</w:t>
            </w:r>
            <w:r>
              <w:rPr>
                <w:rStyle w:val="10"/>
                <w:color w:val="auto"/>
                <w:sz w:val="21"/>
                <w:szCs w:val="21"/>
                <w:lang w:bidi="ar"/>
              </w:rPr>
              <w:t xml:space="preserve"> </w:t>
            </w:r>
            <w:r>
              <w:rPr>
                <w:rStyle w:val="9"/>
                <w:rFonts w:hint="default" w:ascii="Times New Roman" w:hAnsi="Times New Roman" w:cs="Times New Roman"/>
                <w:color w:val="auto"/>
                <w:sz w:val="21"/>
                <w:szCs w:val="21"/>
                <w:lang w:bidi="ar"/>
              </w:rPr>
              <w:t>公共数据资源授权运营工作指南》（</w:t>
            </w:r>
            <w:r>
              <w:rPr>
                <w:rStyle w:val="10"/>
                <w:color w:val="auto"/>
                <w:sz w:val="21"/>
                <w:szCs w:val="21"/>
                <w:lang w:bidi="ar"/>
              </w:rPr>
              <w:t>SZSD 0006—2025</w:t>
            </w:r>
            <w:r>
              <w:rPr>
                <w:rStyle w:val="9"/>
                <w:rFonts w:hint="default" w:ascii="Times New Roman" w:hAnsi="Times New Roman" w:cs="Times New Roman"/>
                <w:color w:val="auto"/>
                <w:sz w:val="21"/>
                <w:szCs w:val="21"/>
                <w:lang w:bidi="ar"/>
              </w:rPr>
              <w:t>）等</w:t>
            </w:r>
            <w:r>
              <w:rPr>
                <w:rStyle w:val="10"/>
                <w:color w:val="auto"/>
                <w:sz w:val="21"/>
                <w:szCs w:val="21"/>
                <w:lang w:bidi="ar"/>
              </w:rPr>
              <w:t>3</w:t>
            </w:r>
            <w:r>
              <w:rPr>
                <w:rStyle w:val="9"/>
                <w:rFonts w:hint="default" w:ascii="Times New Roman" w:hAnsi="Times New Roman" w:cs="Times New Roman"/>
                <w:color w:val="auto"/>
                <w:sz w:val="21"/>
                <w:szCs w:val="21"/>
                <w:lang w:bidi="ar"/>
              </w:rPr>
              <w:t>项数字山东标准规范，推动公共数据资源授权运营全流程规范提升。目前，该实践经验已在东营、菏泽、滨州等地复制推广。</w:t>
            </w:r>
          </w:p>
        </w:tc>
      </w:tr>
      <w:tr w14:paraId="72C00F95">
        <w:tblPrEx>
          <w:tblCellMar>
            <w:top w:w="0" w:type="dxa"/>
            <w:left w:w="108" w:type="dxa"/>
            <w:bottom w:w="0" w:type="dxa"/>
            <w:right w:w="108" w:type="dxa"/>
          </w:tblCellMar>
        </w:tblPrEx>
        <w:trPr>
          <w:cantSplit/>
          <w:trHeight w:val="2593"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F5B3">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14</w:t>
            </w:r>
          </w:p>
        </w:tc>
        <w:tc>
          <w:tcPr>
            <w:tcW w:w="2989" w:type="dxa"/>
            <w:tcBorders>
              <w:top w:val="single" w:color="000000" w:sz="4" w:space="0"/>
              <w:left w:val="single" w:color="000000" w:sz="4" w:space="0"/>
              <w:bottom w:val="single" w:color="000000" w:sz="4" w:space="0"/>
              <w:right w:val="single" w:color="000000" w:sz="4" w:space="0"/>
            </w:tcBorders>
            <w:vAlign w:val="center"/>
          </w:tcPr>
          <w:p w14:paraId="0472C12D">
            <w:pPr>
              <w:widowControl/>
              <w:spacing w:line="360" w:lineRule="exact"/>
              <w:jc w:val="left"/>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强化标准协同治理，提升济南政务数据服务供给质量</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3991">
            <w:pPr>
              <w:widowControl/>
              <w:spacing w:line="360" w:lineRule="exact"/>
              <w:jc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济南市信息中心</w:t>
            </w:r>
          </w:p>
        </w:tc>
        <w:tc>
          <w:tcPr>
            <w:tcW w:w="8059" w:type="dxa"/>
            <w:tcBorders>
              <w:top w:val="single" w:color="000000" w:sz="4" w:space="0"/>
              <w:left w:val="single" w:color="000000" w:sz="4" w:space="0"/>
              <w:bottom w:val="single" w:color="000000" w:sz="4" w:space="0"/>
              <w:right w:val="single" w:color="000000" w:sz="4" w:space="0"/>
            </w:tcBorders>
            <w:vAlign w:val="center"/>
          </w:tcPr>
          <w:p w14:paraId="5AE08A07">
            <w:pPr>
              <w:widowControl/>
              <w:spacing w:line="360" w:lineRule="exact"/>
              <w:textAlignment w:val="top"/>
              <w:rPr>
                <w:rFonts w:ascii="Times New Roman" w:hAnsi="Times New Roman" w:cs="Times New Roman"/>
                <w:color w:val="auto"/>
                <w:sz w:val="21"/>
                <w:szCs w:val="21"/>
              </w:rPr>
            </w:pPr>
            <w:r>
              <w:rPr>
                <w:rStyle w:val="10"/>
                <w:color w:val="auto"/>
                <w:sz w:val="21"/>
                <w:szCs w:val="21"/>
                <w:lang w:bidi="ar"/>
              </w:rPr>
              <w:t>济南市围绕公共数据“汇治用”体系建设，针对公共数据字段口径不统一、源头数据质量参差不齐、基层业务数据分散等痛点问题，以标准规范为抓手，编制了数字山东技术规范《济南市公共数据元编制规范》（SZSD01 0003—2026）、《基层数据采集处理规范》（SZS</w:t>
            </w:r>
            <w:r>
              <w:rPr>
                <w:rStyle w:val="10"/>
                <w:rFonts w:hint="default" w:ascii="Times New Roman" w:hAnsi="Times New Roman" w:cs="Times New Roman"/>
                <w:color w:val="auto"/>
                <w:sz w:val="21"/>
                <w:szCs w:val="21"/>
                <w:lang w:bidi="ar"/>
              </w:rPr>
              <w:t>D01 0004—2026），开展公共数据元研究与元数据探查，将元数据探查纳入政务信息系统项目验收硬性环节，全面落地基层数据采集、传输、存储、共享、质量、安全全流程标准化要求。制定《济南市一体化大数据平台接口管理办法》，规范接口全生命周期管理，建立数据质量量化评估机制，构建“问题反馈—整改落实—复核验收”治理闭环，有效提升政务数据服务供给质量。</w:t>
            </w:r>
          </w:p>
        </w:tc>
      </w:tr>
      <w:tr w14:paraId="79677A67">
        <w:tblPrEx>
          <w:tblCellMar>
            <w:top w:w="0" w:type="dxa"/>
            <w:left w:w="108" w:type="dxa"/>
            <w:bottom w:w="0" w:type="dxa"/>
            <w:right w:w="108" w:type="dxa"/>
          </w:tblCellMar>
        </w:tblPrEx>
        <w:trPr>
          <w:cantSplit/>
          <w:trHeight w:val="2536"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C08E">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15</w:t>
            </w:r>
          </w:p>
        </w:tc>
        <w:tc>
          <w:tcPr>
            <w:tcW w:w="2989" w:type="dxa"/>
            <w:tcBorders>
              <w:top w:val="single" w:color="000000" w:sz="4" w:space="0"/>
              <w:left w:val="single" w:color="000000" w:sz="4" w:space="0"/>
              <w:bottom w:val="single" w:color="000000" w:sz="4" w:space="0"/>
              <w:right w:val="single" w:color="000000" w:sz="4" w:space="0"/>
            </w:tcBorders>
            <w:vAlign w:val="center"/>
          </w:tcPr>
          <w:p w14:paraId="104DD757">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数字政府标准建设青岛实践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5DFC">
            <w:pPr>
              <w:widowControl/>
              <w:spacing w:line="360" w:lineRule="exact"/>
              <w:jc w:val="center"/>
              <w:textAlignment w:val="center"/>
              <w:rPr>
                <w:rStyle w:val="7"/>
                <w:rFonts w:hint="default" w:ascii="Times New Roman" w:hAnsi="Times New Roman" w:cs="Times New Roman"/>
                <w:color w:val="auto"/>
                <w:sz w:val="21"/>
                <w:szCs w:val="21"/>
                <w:lang w:bidi="ar"/>
              </w:rPr>
            </w:pPr>
            <w:r>
              <w:rPr>
                <w:rStyle w:val="7"/>
                <w:rFonts w:hint="default" w:ascii="Times New Roman" w:hAnsi="Times New Roman" w:cs="Times New Roman"/>
                <w:color w:val="auto"/>
                <w:sz w:val="21"/>
                <w:szCs w:val="21"/>
                <w:lang w:bidi="ar"/>
              </w:rPr>
              <w:t>青岛市大数据</w:t>
            </w:r>
          </w:p>
          <w:p w14:paraId="6C03A897">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发展管理局</w:t>
            </w:r>
          </w:p>
        </w:tc>
        <w:tc>
          <w:tcPr>
            <w:tcW w:w="8059" w:type="dxa"/>
            <w:tcBorders>
              <w:top w:val="single" w:color="000000" w:sz="4" w:space="0"/>
              <w:left w:val="single" w:color="000000" w:sz="4" w:space="0"/>
              <w:bottom w:val="single" w:color="000000" w:sz="4" w:space="0"/>
              <w:right w:val="single" w:color="000000" w:sz="4" w:space="0"/>
            </w:tcBorders>
            <w:vAlign w:val="center"/>
          </w:tcPr>
          <w:p w14:paraId="5D56A025">
            <w:pPr>
              <w:widowControl/>
              <w:spacing w:line="360" w:lineRule="exact"/>
              <w:textAlignment w:val="top"/>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青岛市全面贯彻落实国家数字政府建设总体要求，聚焦城市云脑、数字机关、政务大模型三大重点领域，将标准化建设贯穿数字政府建设全过程。累计制定应用省级标准</w:t>
            </w:r>
            <w:r>
              <w:rPr>
                <w:rStyle w:val="8"/>
                <w:rFonts w:hint="default" w:ascii="Times New Roman" w:hAnsi="Times New Roman" w:cs="Times New Roman"/>
                <w:color w:val="auto"/>
                <w:sz w:val="21"/>
                <w:szCs w:val="21"/>
                <w:lang w:bidi="ar"/>
              </w:rPr>
              <w:t>6</w:t>
            </w:r>
            <w:r>
              <w:rPr>
                <w:rStyle w:val="7"/>
                <w:rFonts w:hint="default" w:ascii="Times New Roman" w:hAnsi="Times New Roman" w:cs="Times New Roman"/>
                <w:color w:val="auto"/>
                <w:sz w:val="21"/>
                <w:szCs w:val="21"/>
                <w:lang w:bidi="ar"/>
              </w:rPr>
              <w:t>项、市级标准</w:t>
            </w:r>
            <w:r>
              <w:rPr>
                <w:rStyle w:val="8"/>
                <w:rFonts w:hint="default" w:ascii="Times New Roman" w:hAnsi="Times New Roman" w:cs="Times New Roman"/>
                <w:color w:val="auto"/>
                <w:sz w:val="21"/>
                <w:szCs w:val="21"/>
                <w:lang w:bidi="ar"/>
              </w:rPr>
              <w:t>8</w:t>
            </w:r>
            <w:r>
              <w:rPr>
                <w:rStyle w:val="7"/>
                <w:rFonts w:hint="default" w:ascii="Times New Roman" w:hAnsi="Times New Roman" w:cs="Times New Roman"/>
                <w:color w:val="auto"/>
                <w:sz w:val="21"/>
                <w:szCs w:val="21"/>
                <w:lang w:bidi="ar"/>
              </w:rPr>
              <w:t>项、内部标准</w:t>
            </w:r>
            <w:r>
              <w:rPr>
                <w:rStyle w:val="8"/>
                <w:rFonts w:hint="default" w:ascii="Times New Roman" w:hAnsi="Times New Roman" w:cs="Times New Roman"/>
                <w:color w:val="auto"/>
                <w:sz w:val="21"/>
                <w:szCs w:val="21"/>
                <w:lang w:bidi="ar"/>
              </w:rPr>
              <w:t>4</w:t>
            </w:r>
            <w:r>
              <w:rPr>
                <w:rStyle w:val="7"/>
                <w:rFonts w:hint="default" w:ascii="Times New Roman" w:hAnsi="Times New Roman" w:cs="Times New Roman"/>
                <w:color w:val="auto"/>
                <w:sz w:val="21"/>
                <w:szCs w:val="21"/>
                <w:lang w:bidi="ar"/>
              </w:rPr>
              <w:t>项，深度参与国家标准编制</w:t>
            </w:r>
            <w:r>
              <w:rPr>
                <w:rStyle w:val="8"/>
                <w:rFonts w:hint="default" w:ascii="Times New Roman" w:hAnsi="Times New Roman" w:cs="Times New Roman"/>
                <w:color w:val="auto"/>
                <w:sz w:val="21"/>
                <w:szCs w:val="21"/>
                <w:lang w:bidi="ar"/>
              </w:rPr>
              <w:t>3</w:t>
            </w:r>
            <w:r>
              <w:rPr>
                <w:rStyle w:val="7"/>
                <w:rFonts w:hint="default" w:ascii="Times New Roman" w:hAnsi="Times New Roman" w:cs="Times New Roman"/>
                <w:color w:val="auto"/>
                <w:sz w:val="21"/>
                <w:szCs w:val="21"/>
                <w:lang w:bidi="ar"/>
              </w:rPr>
              <w:t>项，构建</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省级标准引领方向、市级标准细化落地、内部标准配套支撑</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多层次标准体系。通过标准化体系建设，有效解决各部门分散建设、重复投资、系统不互通、数据不共享等问题。城市云脑实现</w:t>
            </w:r>
            <w:r>
              <w:rPr>
                <w:rStyle w:val="8"/>
                <w:rFonts w:hint="default" w:ascii="Times New Roman" w:hAnsi="Times New Roman" w:cs="Times New Roman"/>
                <w:color w:val="auto"/>
                <w:sz w:val="21"/>
                <w:szCs w:val="21"/>
                <w:lang w:bidi="ar"/>
              </w:rPr>
              <w:t>178</w:t>
            </w:r>
            <w:r>
              <w:rPr>
                <w:rStyle w:val="7"/>
                <w:rFonts w:hint="default" w:ascii="Times New Roman" w:hAnsi="Times New Roman" w:cs="Times New Roman"/>
                <w:color w:val="auto"/>
                <w:sz w:val="21"/>
                <w:szCs w:val="21"/>
                <w:lang w:bidi="ar"/>
              </w:rPr>
              <w:t>个部门系统、</w:t>
            </w:r>
            <w:r>
              <w:rPr>
                <w:rStyle w:val="8"/>
                <w:rFonts w:hint="default" w:ascii="Times New Roman" w:hAnsi="Times New Roman" w:cs="Times New Roman"/>
                <w:color w:val="auto"/>
                <w:sz w:val="21"/>
                <w:szCs w:val="21"/>
                <w:lang w:bidi="ar"/>
              </w:rPr>
              <w:t>139</w:t>
            </w:r>
            <w:r>
              <w:rPr>
                <w:rStyle w:val="7"/>
                <w:rFonts w:hint="default" w:ascii="Times New Roman" w:hAnsi="Times New Roman" w:cs="Times New Roman"/>
                <w:color w:val="auto"/>
                <w:sz w:val="21"/>
                <w:szCs w:val="21"/>
                <w:lang w:bidi="ar"/>
              </w:rPr>
              <w:t>个区市系统接入，累计共享复用各类组件、应用、基础设施</w:t>
            </w:r>
            <w:r>
              <w:rPr>
                <w:rStyle w:val="8"/>
                <w:rFonts w:hint="default" w:ascii="Times New Roman" w:hAnsi="Times New Roman" w:cs="Times New Roman"/>
                <w:color w:val="auto"/>
                <w:sz w:val="21"/>
                <w:szCs w:val="21"/>
                <w:lang w:bidi="ar"/>
              </w:rPr>
              <w:t>5000</w:t>
            </w:r>
            <w:r>
              <w:rPr>
                <w:rStyle w:val="7"/>
                <w:rFonts w:hint="default" w:ascii="Times New Roman" w:hAnsi="Times New Roman" w:cs="Times New Roman"/>
                <w:color w:val="auto"/>
                <w:sz w:val="21"/>
                <w:szCs w:val="21"/>
                <w:lang w:bidi="ar"/>
              </w:rPr>
              <w:t>余次，节约财政资金约</w:t>
            </w:r>
            <w:r>
              <w:rPr>
                <w:rStyle w:val="8"/>
                <w:rFonts w:hint="default" w:ascii="Times New Roman" w:hAnsi="Times New Roman" w:cs="Times New Roman"/>
                <w:color w:val="auto"/>
                <w:sz w:val="21"/>
                <w:szCs w:val="21"/>
                <w:lang w:bidi="ar"/>
              </w:rPr>
              <w:t>7700</w:t>
            </w:r>
            <w:r>
              <w:rPr>
                <w:rStyle w:val="7"/>
                <w:rFonts w:hint="default" w:ascii="Times New Roman" w:hAnsi="Times New Roman" w:cs="Times New Roman"/>
                <w:color w:val="auto"/>
                <w:sz w:val="21"/>
                <w:szCs w:val="21"/>
                <w:lang w:bidi="ar"/>
              </w:rPr>
              <w:t>万元。建成全省首个政务大模型应用支撑底座，支撑</w:t>
            </w:r>
            <w:r>
              <w:rPr>
                <w:rStyle w:val="8"/>
                <w:rFonts w:hint="default" w:ascii="Times New Roman" w:hAnsi="Times New Roman" w:cs="Times New Roman"/>
                <w:color w:val="auto"/>
                <w:sz w:val="21"/>
                <w:szCs w:val="21"/>
                <w:lang w:bidi="ar"/>
              </w:rPr>
              <w:t>53</w:t>
            </w:r>
            <w:r>
              <w:rPr>
                <w:rStyle w:val="7"/>
                <w:rFonts w:hint="default" w:ascii="Times New Roman" w:hAnsi="Times New Roman" w:cs="Times New Roman"/>
                <w:color w:val="auto"/>
                <w:sz w:val="21"/>
                <w:szCs w:val="21"/>
                <w:lang w:bidi="ar"/>
              </w:rPr>
              <w:t>个部门打造</w:t>
            </w:r>
            <w:r>
              <w:rPr>
                <w:rStyle w:val="8"/>
                <w:rFonts w:hint="default" w:ascii="Times New Roman" w:hAnsi="Times New Roman" w:cs="Times New Roman"/>
                <w:color w:val="auto"/>
                <w:sz w:val="21"/>
                <w:szCs w:val="21"/>
                <w:lang w:bidi="ar"/>
              </w:rPr>
              <w:t>105</w:t>
            </w:r>
            <w:r>
              <w:rPr>
                <w:rStyle w:val="7"/>
                <w:rFonts w:hint="default" w:ascii="Times New Roman" w:hAnsi="Times New Roman" w:cs="Times New Roman"/>
                <w:color w:val="auto"/>
                <w:sz w:val="21"/>
                <w:szCs w:val="21"/>
                <w:lang w:bidi="ar"/>
              </w:rPr>
              <w:t>个大模型应用场景。</w:t>
            </w:r>
          </w:p>
        </w:tc>
      </w:tr>
      <w:tr w14:paraId="0ABE00D6">
        <w:tblPrEx>
          <w:tblCellMar>
            <w:top w:w="0" w:type="dxa"/>
            <w:left w:w="108" w:type="dxa"/>
            <w:bottom w:w="0" w:type="dxa"/>
            <w:right w:w="108" w:type="dxa"/>
          </w:tblCellMar>
        </w:tblPrEx>
        <w:trPr>
          <w:cantSplit/>
          <w:trHeight w:val="90"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1C9A">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16</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5F87">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以标准为牵引，推动政务信创改造规范化落地</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5739">
            <w:pPr>
              <w:widowControl/>
              <w:spacing w:line="360" w:lineRule="exact"/>
              <w:jc w:val="center"/>
              <w:textAlignment w:val="center"/>
              <w:rPr>
                <w:rStyle w:val="7"/>
                <w:rFonts w:hint="default" w:ascii="Times New Roman" w:hAnsi="Times New Roman" w:cs="Times New Roman"/>
                <w:color w:val="auto"/>
                <w:sz w:val="21"/>
                <w:szCs w:val="21"/>
                <w:lang w:bidi="ar"/>
              </w:rPr>
            </w:pPr>
            <w:r>
              <w:rPr>
                <w:rStyle w:val="7"/>
                <w:rFonts w:hint="default" w:ascii="Times New Roman" w:hAnsi="Times New Roman" w:cs="Times New Roman"/>
                <w:color w:val="auto"/>
                <w:sz w:val="21"/>
                <w:szCs w:val="21"/>
                <w:lang w:bidi="ar"/>
              </w:rPr>
              <w:t>烟台市大数据</w:t>
            </w:r>
          </w:p>
          <w:p w14:paraId="092E506C">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中心</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450C">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烟台市大数据中心联合25家单位，基于全市150个政务系统信创改造实践，牵头编制团体标准《政务信息系统信创符合性测评规范》（T/SDDITAI 3113—2025），构建“基础层—支撑层—应用层—终端层—供应链层”五层对象体系与“信创合规性、兼容性、质量可信性、供应链安全性”四维指标模型，破解政务信创改造“底数不清、路径不明、标准不一、质量难控、权责模糊、资源分散”六类难题。2024—2025年，推动150个政务系统完成适配改造，其中整合21个、关停35个、平迁升级94个，回收云上非信创资源1856台，指导7个区县级系统完成适配论证，打造可复制推广的“烟台样板”。</w:t>
            </w:r>
          </w:p>
        </w:tc>
      </w:tr>
      <w:tr w14:paraId="1A2CA936">
        <w:tblPrEx>
          <w:tblCellMar>
            <w:top w:w="0" w:type="dxa"/>
            <w:left w:w="108" w:type="dxa"/>
            <w:bottom w:w="0" w:type="dxa"/>
            <w:right w:w="108" w:type="dxa"/>
          </w:tblCellMar>
        </w:tblPrEx>
        <w:trPr>
          <w:cantSplit/>
          <w:trHeight w:val="2524"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EF20">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17</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81C4">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标准引领数据治理，激活港口数据价值</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0F98B">
            <w:pPr>
              <w:widowControl/>
              <w:spacing w:line="360" w:lineRule="exact"/>
              <w:jc w:val="center"/>
              <w:textAlignment w:val="center"/>
              <w:rPr>
                <w:rFonts w:ascii="Times New Roman" w:hAnsi="Times New Roman" w:cs="Times New Roman"/>
                <w:color w:val="auto"/>
                <w:kern w:val="0"/>
                <w:sz w:val="21"/>
                <w:szCs w:val="21"/>
                <w:lang w:bidi="ar"/>
              </w:rPr>
            </w:pPr>
            <w:r>
              <w:rPr>
                <w:rFonts w:ascii="Times New Roman" w:hAnsi="Times New Roman" w:cs="Times New Roman"/>
                <w:color w:val="auto"/>
                <w:kern w:val="0"/>
                <w:sz w:val="21"/>
                <w:szCs w:val="21"/>
                <w:lang w:bidi="ar"/>
              </w:rPr>
              <w:t>日照港集装箱</w:t>
            </w:r>
          </w:p>
          <w:p w14:paraId="01996F5E">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发展有限公司</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2D76">
            <w:pPr>
              <w:widowControl/>
              <w:spacing w:line="360" w:lineRule="exact"/>
              <w:textAlignment w:val="top"/>
              <w:rPr>
                <w:rFonts w:ascii="Times New Roman" w:hAnsi="Times New Roman" w:cs="Times New Roman"/>
                <w:color w:val="auto"/>
                <w:sz w:val="21"/>
                <w:szCs w:val="21"/>
              </w:rPr>
            </w:pPr>
            <w:r>
              <w:rPr>
                <w:rFonts w:ascii="Times New Roman" w:hAnsi="Times New Roman" w:cs="Times New Roman"/>
                <w:color w:val="auto"/>
                <w:sz w:val="21"/>
                <w:szCs w:val="21"/>
              </w:rPr>
              <w:t>日照港集装箱发展有限公司围绕数据治理全流程推进标准化建设，创新构建“盘、规、落、用”工作方法，搭建港口行业数据资源图谱，制定数据质量监测规则，在数据资源目录、数据质量标准基础上，汇聚港口上下游政府、企业业务信息。牵头及参与《物流企业数字化 第2部分：业务平台要求》（20251916-T-469）等5项国家、行业标准，以及《智慧港口数字孪生可视化智能平台建设规范》（T/CI 1247-2025）等7项团体标准，持续健全行业数据交互、元数据管理、数字化管控等相关规范，提升数据标准化与规范化应用能力，破除业务“数据方言”。依托标准打通跨主体数据链路，拓展港口+金融、物流、制造融合创新场景，探索出一条港口行业数据资产价值实现路径，为国内港口数字化转型、数据要素落地应用提供了有益借鉴。</w:t>
            </w:r>
          </w:p>
        </w:tc>
      </w:tr>
      <w:tr w14:paraId="266A68A5">
        <w:tblPrEx>
          <w:tblCellMar>
            <w:top w:w="0" w:type="dxa"/>
            <w:left w:w="108" w:type="dxa"/>
            <w:bottom w:w="0" w:type="dxa"/>
            <w:right w:w="108" w:type="dxa"/>
          </w:tblCellMar>
        </w:tblPrEx>
        <w:trPr>
          <w:cantSplit/>
          <w:trHeight w:val="2529"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E9A8">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18</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0BBE">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sz w:val="21"/>
                <w:szCs w:val="21"/>
              </w:rPr>
              <w:t>标准化引领智慧文旅创新实践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088E">
            <w:pPr>
              <w:widowControl/>
              <w:spacing w:line="360" w:lineRule="exact"/>
              <w:jc w:val="center"/>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泰安市元泰山数字科技有限责任公司</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9580">
            <w:pPr>
              <w:pStyle w:val="4"/>
              <w:spacing w:line="360" w:lineRule="exact"/>
              <w:textAlignment w:val="top"/>
              <w:rPr>
                <w:rFonts w:ascii="Times New Roman" w:hAnsi="Times New Roman" w:cs="Times New Roman"/>
                <w:color w:val="auto"/>
                <w:sz w:val="21"/>
                <w:szCs w:val="21"/>
                <w:lang w:val="en-US" w:bidi="ar"/>
              </w:rPr>
            </w:pPr>
            <w:r>
              <w:rPr>
                <w:rFonts w:ascii="Times New Roman" w:hAnsi="Times New Roman" w:cs="Times New Roman"/>
                <w:color w:val="auto"/>
                <w:sz w:val="21"/>
                <w:szCs w:val="21"/>
              </w:rPr>
              <w:t>针对智慧文旅建设中存在的标准缺失、数据治理规范空白等难题，泰安市打造“泰山+畅游天下游客服务平台”，把标准化理念贯穿平台架构设计、资源接入、数据治理全过程，梳理形成功能模块、多业态对接、数据接口等技术规范，整合全域文旅服务场景，实现“一部手机游泰安”。依托平台实践经验，编制了数字山东技术规范《智慧文旅服务平台建设指南》（SZSD09 0002—2025），制定了《文化和旅游核心数据分类分级指南》，为文旅数据合规流通提供指引。同时，将标准化应用延伸至AI伴游、数字人交互、智能装备等场景，AI伴游在130余处景点落地，500余台登山助力机器人投入使用。目前，平台已累计服务游客超千万人次，带动文旅消费超10亿元，为全省乃至全国智慧文旅标准化建设提供了可复制、可推广的经验。</w:t>
            </w:r>
          </w:p>
        </w:tc>
      </w:tr>
      <w:tr w14:paraId="0EEB55F1">
        <w:tblPrEx>
          <w:tblCellMar>
            <w:top w:w="0" w:type="dxa"/>
            <w:left w:w="108" w:type="dxa"/>
            <w:bottom w:w="0" w:type="dxa"/>
            <w:right w:w="108" w:type="dxa"/>
          </w:tblCellMar>
        </w:tblPrEx>
        <w:trPr>
          <w:cantSplit/>
          <w:trHeight w:val="2568"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DBC2">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19</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3954">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以标准促进数据价值释放——临沂商贸物流数据要素化实践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01E0">
            <w:pPr>
              <w:widowControl/>
              <w:spacing w:line="360" w:lineRule="exact"/>
              <w:jc w:val="center"/>
              <w:textAlignment w:val="center"/>
              <w:rPr>
                <w:rStyle w:val="7"/>
                <w:rFonts w:hint="default" w:ascii="Times New Roman" w:hAnsi="Times New Roman" w:cs="Times New Roman"/>
                <w:color w:val="auto"/>
                <w:sz w:val="21"/>
                <w:szCs w:val="21"/>
                <w:lang w:bidi="ar"/>
              </w:rPr>
            </w:pPr>
            <w:r>
              <w:rPr>
                <w:rStyle w:val="7"/>
                <w:rFonts w:hint="default" w:ascii="Times New Roman" w:hAnsi="Times New Roman" w:cs="Times New Roman"/>
                <w:color w:val="auto"/>
                <w:sz w:val="21"/>
                <w:szCs w:val="21"/>
                <w:lang w:bidi="ar"/>
              </w:rPr>
              <w:t>临沂市大数据</w:t>
            </w:r>
          </w:p>
          <w:p w14:paraId="5A3620A1">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中心</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EA14">
            <w:pPr>
              <w:widowControl/>
              <w:spacing w:line="360" w:lineRule="exact"/>
              <w:textAlignment w:val="top"/>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针对商贸物流领域衍生数据概念边界不清、分类口径不一、价值认定缺乏量化依据等问题，临沂市大数据中心牵头编制了数字山东技术规范《商贸物流衍生数据分类及认定》（</w:t>
            </w:r>
            <w:r>
              <w:rPr>
                <w:rStyle w:val="8"/>
                <w:rFonts w:hint="default" w:ascii="Times New Roman" w:hAnsi="Times New Roman" w:cs="Times New Roman"/>
                <w:color w:val="auto"/>
                <w:sz w:val="21"/>
                <w:szCs w:val="21"/>
                <w:lang w:bidi="ar"/>
              </w:rPr>
              <w:t>SZSD13 0002—2026</w:t>
            </w:r>
            <w:r>
              <w:rPr>
                <w:rStyle w:val="7"/>
                <w:rFonts w:hint="default" w:ascii="Times New Roman" w:hAnsi="Times New Roman" w:cs="Times New Roman"/>
                <w:color w:val="auto"/>
                <w:sz w:val="21"/>
                <w:szCs w:val="21"/>
                <w:lang w:bidi="ar"/>
              </w:rPr>
              <w:t>）。标准以合法合规、价值导向、权属明晰、安全可控为原则，建立交易、运输、仓储、末端配送、其他五类体系，构建数据处理深度、数据融合广度、价值创新度、应用实用性四维等权评价模型，设置衍生等级阈值及安全合规</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一票否决</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。通过标准宣贯和场景化应用，形成</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数据源梳理</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加工记录</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分类判定</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量化评分</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产品服务</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持续更新</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闭环方法，为商贸物流数据资源目录管理、数据产品开发、行业数字化转型提供统一依据，形成可复制可推广的商贸物流数据要素价值释放路径。</w:t>
            </w:r>
          </w:p>
        </w:tc>
      </w:tr>
      <w:tr w14:paraId="0758AFF4">
        <w:tblPrEx>
          <w:tblCellMar>
            <w:top w:w="0" w:type="dxa"/>
            <w:left w:w="108" w:type="dxa"/>
            <w:bottom w:w="0" w:type="dxa"/>
            <w:right w:w="108" w:type="dxa"/>
          </w:tblCellMar>
        </w:tblPrEx>
        <w:trPr>
          <w:cantSplit/>
          <w:trHeight w:val="2736"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225C">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20</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9D43">
            <w:pPr>
              <w:widowControl/>
              <w:spacing w:line="360" w:lineRule="exact"/>
              <w:jc w:val="lef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打造</w:t>
            </w:r>
            <w:r>
              <w:rPr>
                <w:rStyle w:val="10"/>
                <w:color w:val="auto"/>
                <w:sz w:val="21"/>
                <w:szCs w:val="21"/>
                <w:lang w:bidi="ar"/>
              </w:rPr>
              <w:t>“AI</w:t>
            </w:r>
            <w:r>
              <w:rPr>
                <w:rStyle w:val="9"/>
                <w:rFonts w:hint="default" w:ascii="Times New Roman" w:hAnsi="Times New Roman" w:cs="Times New Roman"/>
                <w:color w:val="auto"/>
                <w:sz w:val="21"/>
                <w:szCs w:val="21"/>
                <w:lang w:bidi="ar"/>
              </w:rPr>
              <w:t>预审员工</w:t>
            </w:r>
            <w:r>
              <w:rPr>
                <w:rStyle w:val="10"/>
                <w:color w:val="auto"/>
                <w:sz w:val="21"/>
                <w:szCs w:val="21"/>
                <w:lang w:bidi="ar"/>
              </w:rPr>
              <w:t>”</w:t>
            </w:r>
            <w:r>
              <w:rPr>
                <w:rStyle w:val="11"/>
                <w:rFonts w:hint="default" w:ascii="Times New Roman" w:hAnsi="Times New Roman" w:eastAsia="仿宋_GB2312" w:cs="Times New Roman"/>
                <w:color w:val="auto"/>
                <w:sz w:val="21"/>
                <w:szCs w:val="21"/>
                <w:lang w:bidi="ar"/>
              </w:rPr>
              <w:t>，</w:t>
            </w:r>
            <w:r>
              <w:rPr>
                <w:rStyle w:val="9"/>
                <w:rFonts w:hint="default" w:ascii="Times New Roman" w:hAnsi="Times New Roman" w:cs="Times New Roman"/>
                <w:color w:val="auto"/>
                <w:sz w:val="21"/>
                <w:szCs w:val="21"/>
                <w:lang w:bidi="ar"/>
              </w:rPr>
              <w:t>实现</w:t>
            </w:r>
            <w:r>
              <w:rPr>
                <w:rStyle w:val="10"/>
                <w:color w:val="auto"/>
                <w:sz w:val="21"/>
                <w:szCs w:val="21"/>
                <w:lang w:bidi="ar"/>
              </w:rPr>
              <w:t>“</w:t>
            </w:r>
            <w:r>
              <w:rPr>
                <w:rStyle w:val="9"/>
                <w:rFonts w:hint="default" w:ascii="Times New Roman" w:hAnsi="Times New Roman" w:cs="Times New Roman"/>
                <w:color w:val="auto"/>
                <w:sz w:val="21"/>
                <w:szCs w:val="21"/>
                <w:lang w:bidi="ar"/>
              </w:rPr>
              <w:t>易申快审</w:t>
            </w:r>
            <w:r>
              <w:rPr>
                <w:rStyle w:val="10"/>
                <w:color w:val="auto"/>
                <w:sz w:val="21"/>
                <w:szCs w:val="21"/>
                <w:lang w:bidi="ar"/>
              </w:rPr>
              <w:t>”</w:t>
            </w:r>
            <w:r>
              <w:rPr>
                <w:rStyle w:val="9"/>
                <w:rFonts w:hint="default" w:ascii="Times New Roman" w:hAnsi="Times New Roman" w:cs="Times New Roman"/>
                <w:color w:val="auto"/>
                <w:sz w:val="21"/>
                <w:szCs w:val="21"/>
                <w:lang w:bidi="ar"/>
              </w:rPr>
              <w:t>——基于标准化的县域智能审批实践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71D2">
            <w:pPr>
              <w:widowControl/>
              <w:spacing w:line="360" w:lineRule="exact"/>
              <w:jc w:val="center"/>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梁山县行政审批服务局</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CBE2E">
            <w:pPr>
              <w:widowControl/>
              <w:spacing w:line="360" w:lineRule="exact"/>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梁山县行政审批服务局以标准化为牵引，系统梳理</w:t>
            </w:r>
            <w:r>
              <w:rPr>
                <w:rStyle w:val="8"/>
                <w:rFonts w:hint="default" w:ascii="Times New Roman" w:hAnsi="Times New Roman" w:cs="Times New Roman"/>
                <w:color w:val="auto"/>
                <w:sz w:val="21"/>
                <w:szCs w:val="21"/>
                <w:lang w:bidi="ar"/>
              </w:rPr>
              <w:t>6</w:t>
            </w:r>
            <w:r>
              <w:rPr>
                <w:rStyle w:val="7"/>
                <w:rFonts w:hint="default" w:ascii="Times New Roman" w:hAnsi="Times New Roman" w:cs="Times New Roman"/>
                <w:color w:val="auto"/>
                <w:sz w:val="21"/>
                <w:szCs w:val="21"/>
                <w:lang w:bidi="ar"/>
              </w:rPr>
              <w:t>大高频领域</w:t>
            </w:r>
            <w:r>
              <w:rPr>
                <w:rStyle w:val="8"/>
                <w:rFonts w:hint="default" w:ascii="Times New Roman" w:hAnsi="Times New Roman" w:cs="Times New Roman"/>
                <w:color w:val="auto"/>
                <w:sz w:val="21"/>
                <w:szCs w:val="21"/>
                <w:lang w:bidi="ar"/>
              </w:rPr>
              <w:t>128</w:t>
            </w:r>
            <w:r>
              <w:rPr>
                <w:rStyle w:val="7"/>
                <w:rFonts w:hint="default" w:ascii="Times New Roman" w:hAnsi="Times New Roman" w:cs="Times New Roman"/>
                <w:color w:val="auto"/>
                <w:sz w:val="21"/>
                <w:szCs w:val="21"/>
                <w:lang w:bidi="ar"/>
              </w:rPr>
              <w:t>条审查要点，将其转化为结构化数字规则，牵头制定《梁山县政务服务标准化审查要点规范（试行）》，统一事项审查要素、材料核验标准，面向全体审批人员及乡镇便民中心进行宣贯培训。依托</w:t>
            </w:r>
            <w:r>
              <w:rPr>
                <w:rStyle w:val="8"/>
                <w:rFonts w:hint="default" w:ascii="Times New Roman" w:hAnsi="Times New Roman" w:cs="Times New Roman"/>
                <w:color w:val="auto"/>
                <w:sz w:val="21"/>
                <w:szCs w:val="21"/>
                <w:lang w:bidi="ar"/>
              </w:rPr>
              <w:t>OCR</w:t>
            </w:r>
            <w:r>
              <w:rPr>
                <w:rStyle w:val="7"/>
                <w:rFonts w:hint="default" w:ascii="Times New Roman" w:hAnsi="Times New Roman" w:cs="Times New Roman"/>
                <w:color w:val="auto"/>
                <w:sz w:val="21"/>
                <w:szCs w:val="21"/>
                <w:lang w:bidi="ar"/>
              </w:rPr>
              <w:t>、</w:t>
            </w:r>
            <w:r>
              <w:rPr>
                <w:rStyle w:val="8"/>
                <w:rFonts w:hint="default" w:ascii="Times New Roman" w:hAnsi="Times New Roman" w:cs="Times New Roman"/>
                <w:color w:val="auto"/>
                <w:sz w:val="21"/>
                <w:szCs w:val="21"/>
                <w:lang w:bidi="ar"/>
              </w:rPr>
              <w:t>NLP</w:t>
            </w:r>
            <w:r>
              <w:rPr>
                <w:rStyle w:val="7"/>
                <w:rFonts w:hint="default" w:ascii="Times New Roman" w:hAnsi="Times New Roman" w:cs="Times New Roman"/>
                <w:color w:val="auto"/>
                <w:sz w:val="21"/>
                <w:szCs w:val="21"/>
                <w:lang w:bidi="ar"/>
              </w:rPr>
              <w:t>及人工智能大模型等技术，打造</w:t>
            </w:r>
            <w:r>
              <w:rPr>
                <w:rStyle w:val="8"/>
                <w:rFonts w:hint="default" w:ascii="Times New Roman" w:hAnsi="Times New Roman" w:cs="Times New Roman"/>
                <w:color w:val="auto"/>
                <w:sz w:val="21"/>
                <w:szCs w:val="21"/>
                <w:lang w:bidi="ar"/>
              </w:rPr>
              <w:t>“AI</w:t>
            </w:r>
            <w:r>
              <w:rPr>
                <w:rStyle w:val="7"/>
                <w:rFonts w:hint="default" w:ascii="Times New Roman" w:hAnsi="Times New Roman" w:cs="Times New Roman"/>
                <w:color w:val="auto"/>
                <w:sz w:val="21"/>
                <w:szCs w:val="21"/>
                <w:lang w:bidi="ar"/>
              </w:rPr>
              <w:t>预审员工</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智能辅助审批系统，构建</w:t>
            </w:r>
            <w:r>
              <w:rPr>
                <w:rStyle w:val="8"/>
                <w:rFonts w:hint="default" w:ascii="Times New Roman" w:hAnsi="Times New Roman" w:cs="Times New Roman"/>
                <w:color w:val="auto"/>
                <w:sz w:val="21"/>
                <w:szCs w:val="21"/>
                <w:lang w:bidi="ar"/>
              </w:rPr>
              <w:t>“AI</w:t>
            </w:r>
            <w:r>
              <w:rPr>
                <w:rStyle w:val="7"/>
                <w:rFonts w:hint="default" w:ascii="Times New Roman" w:hAnsi="Times New Roman" w:cs="Times New Roman"/>
                <w:color w:val="auto"/>
                <w:sz w:val="21"/>
                <w:szCs w:val="21"/>
                <w:lang w:bidi="ar"/>
              </w:rPr>
              <w:t>预审为主、人工复核为辅</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的人机协同模式。通过标准化</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智能化双轮驱动，有效提升审批效率，降低审批人员工作强度，实现</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易申快审</w:t>
            </w:r>
            <w:r>
              <w:rPr>
                <w:rStyle w:val="8"/>
                <w:rFonts w:hint="default" w:ascii="Times New Roman" w:hAnsi="Times New Roman" w:cs="Times New Roman"/>
                <w:color w:val="auto"/>
                <w:sz w:val="21"/>
                <w:szCs w:val="21"/>
                <w:lang w:bidi="ar"/>
              </w:rPr>
              <w:t>”</w:t>
            </w:r>
            <w:r>
              <w:rPr>
                <w:rStyle w:val="7"/>
                <w:rFonts w:hint="default" w:ascii="Times New Roman" w:hAnsi="Times New Roman" w:cs="Times New Roman"/>
                <w:color w:val="auto"/>
                <w:sz w:val="21"/>
                <w:szCs w:val="21"/>
                <w:lang w:bidi="ar"/>
              </w:rPr>
              <w:t>，为县域政务服务智能化转型提供了有益经验。</w:t>
            </w:r>
          </w:p>
        </w:tc>
      </w:tr>
      <w:tr w14:paraId="1276112C">
        <w:tblPrEx>
          <w:tblCellMar>
            <w:top w:w="0" w:type="dxa"/>
            <w:left w:w="108" w:type="dxa"/>
            <w:bottom w:w="0" w:type="dxa"/>
            <w:right w:w="108" w:type="dxa"/>
          </w:tblCellMar>
        </w:tblPrEx>
        <w:trPr>
          <w:cantSplit/>
          <w:trHeight w:val="2820"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380C">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21</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783D">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应用轴承产业数据标准，赋能实体经济数字化转型</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4740">
            <w:pPr>
              <w:widowControl/>
              <w:spacing w:line="360" w:lineRule="exact"/>
              <w:jc w:val="center"/>
              <w:textAlignment w:val="center"/>
              <w:rPr>
                <w:rFonts w:ascii="Times New Roman" w:hAnsi="Times New Roman" w:cs="Times New Roman"/>
                <w:color w:val="auto"/>
                <w:sz w:val="21"/>
                <w:szCs w:val="21"/>
              </w:rPr>
            </w:pPr>
            <w:r>
              <w:rPr>
                <w:rStyle w:val="7"/>
                <w:rFonts w:hint="default" w:ascii="Times New Roman" w:hAnsi="Times New Roman" w:cs="Times New Roman"/>
                <w:color w:val="auto"/>
                <w:sz w:val="21"/>
                <w:szCs w:val="21"/>
                <w:lang w:bidi="ar"/>
              </w:rPr>
              <w:t>印象（山东）大数据有限公司</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938B">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针对轴承产业生产数据采集标准不统一、数据质量参差不齐、跨企业数据流通不畅等问题，印象（山东）大数据公司联合聊城市大数据局等单位，牵头编制了数字山东技术规范《轴承产业生产数据采集与流通技术规范》（</w:t>
            </w:r>
            <w:r>
              <w:rPr>
                <w:rStyle w:val="10"/>
                <w:color w:val="auto"/>
                <w:sz w:val="21"/>
                <w:szCs w:val="21"/>
                <w:lang w:bidi="ar"/>
              </w:rPr>
              <w:t>SZSD15 0001—2026</w:t>
            </w:r>
            <w:r>
              <w:rPr>
                <w:rStyle w:val="9"/>
                <w:rFonts w:hint="default" w:ascii="Times New Roman" w:hAnsi="Times New Roman" w:cs="Times New Roman"/>
                <w:color w:val="auto"/>
                <w:sz w:val="21"/>
                <w:szCs w:val="21"/>
                <w:lang w:bidi="ar"/>
              </w:rPr>
              <w:t>），明确轴承生产数据采集、传输、处理、流通、共享、安全管理等统一技术要求，填补国内轴承产业生产数据领域标准空白。标准发布后，面向行业广泛开展宣贯培训，并在临清市海瑞轴承制造公司等企业试点应用。通过标准落地，实现生产数据标准化采集与合规流通，支撑设备故障预警、质量追溯、工艺优化等应用，有效提升企业生产效率与产品质量，形成</w:t>
            </w:r>
            <w:r>
              <w:rPr>
                <w:rStyle w:val="10"/>
                <w:color w:val="auto"/>
                <w:sz w:val="21"/>
                <w:szCs w:val="21"/>
                <w:lang w:bidi="ar"/>
              </w:rPr>
              <w:t>“</w:t>
            </w:r>
            <w:r>
              <w:rPr>
                <w:rStyle w:val="9"/>
                <w:rFonts w:hint="default" w:ascii="Times New Roman" w:hAnsi="Times New Roman" w:cs="Times New Roman"/>
                <w:color w:val="auto"/>
                <w:sz w:val="21"/>
                <w:szCs w:val="21"/>
                <w:lang w:bidi="ar"/>
              </w:rPr>
              <w:t>标准引领、数据赋能、产业升级</w:t>
            </w:r>
            <w:r>
              <w:rPr>
                <w:rStyle w:val="10"/>
                <w:color w:val="auto"/>
                <w:sz w:val="21"/>
                <w:szCs w:val="21"/>
                <w:lang w:bidi="ar"/>
              </w:rPr>
              <w:t>”</w:t>
            </w:r>
            <w:r>
              <w:rPr>
                <w:rStyle w:val="9"/>
                <w:rFonts w:hint="default" w:ascii="Times New Roman" w:hAnsi="Times New Roman" w:cs="Times New Roman"/>
                <w:color w:val="auto"/>
                <w:sz w:val="21"/>
                <w:szCs w:val="21"/>
                <w:lang w:bidi="ar"/>
              </w:rPr>
              <w:t>的可复制实践经验。</w:t>
            </w:r>
          </w:p>
        </w:tc>
      </w:tr>
      <w:tr w14:paraId="1DF6EEF6">
        <w:tblPrEx>
          <w:tblCellMar>
            <w:top w:w="0" w:type="dxa"/>
            <w:left w:w="108" w:type="dxa"/>
            <w:bottom w:w="0" w:type="dxa"/>
            <w:right w:w="108" w:type="dxa"/>
          </w:tblCellMar>
        </w:tblPrEx>
        <w:trPr>
          <w:cantSplit/>
          <w:trHeight w:val="2820"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365C">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22</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A6CE">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《数据资源价值评价规范》赋能数据资源价值释放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A924">
            <w:pPr>
              <w:widowControl/>
              <w:spacing w:line="360" w:lineRule="exact"/>
              <w:jc w:val="center"/>
              <w:textAlignment w:val="center"/>
              <w:rPr>
                <w:rFonts w:ascii="Times New Roman" w:hAnsi="Times New Roman" w:cs="Times New Roman"/>
                <w:color w:val="auto"/>
                <w:kern w:val="0"/>
                <w:sz w:val="21"/>
                <w:szCs w:val="21"/>
                <w:lang w:bidi="ar"/>
              </w:rPr>
            </w:pPr>
            <w:r>
              <w:rPr>
                <w:rFonts w:ascii="Times New Roman" w:hAnsi="Times New Roman" w:cs="Times New Roman"/>
                <w:color w:val="auto"/>
                <w:kern w:val="0"/>
                <w:sz w:val="21"/>
                <w:szCs w:val="21"/>
                <w:lang w:bidi="ar"/>
              </w:rPr>
              <w:t>青岛数据集团</w:t>
            </w:r>
          </w:p>
          <w:p w14:paraId="1B0DCF2D">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有限公司</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BE5F">
            <w:pPr>
              <w:widowControl/>
              <w:spacing w:line="360" w:lineRule="exac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针对数据资产价值评价长期缺乏统一规范、评价口径不一、结果互认困难等问题，在青岛市大数据发展管理局指导下，青岛数据集团有限公司联合中国信息通信研究院等单位，编制了</w:t>
            </w:r>
            <w:r>
              <w:rPr>
                <w:rFonts w:ascii="Times New Roman" w:hAnsi="Times New Roman" w:cs="Times New Roman"/>
                <w:color w:val="auto"/>
                <w:sz w:val="21"/>
                <w:szCs w:val="21"/>
                <w:lang w:bidi="ar"/>
              </w:rPr>
              <w:t>数字山东技术规范</w:t>
            </w:r>
            <w:r>
              <w:rPr>
                <w:rStyle w:val="9"/>
                <w:rFonts w:hint="default" w:ascii="Times New Roman" w:hAnsi="Times New Roman" w:cs="Times New Roman"/>
                <w:color w:val="auto"/>
                <w:sz w:val="21"/>
                <w:szCs w:val="21"/>
                <w:lang w:bidi="ar"/>
              </w:rPr>
              <w:t>《数据资源价值评价规范》（</w:t>
            </w:r>
            <w:r>
              <w:rPr>
                <w:rStyle w:val="10"/>
                <w:color w:val="auto"/>
                <w:sz w:val="21"/>
                <w:szCs w:val="21"/>
                <w:lang w:bidi="ar"/>
              </w:rPr>
              <w:t>SZSD02 0006—2025</w:t>
            </w:r>
            <w:r>
              <w:rPr>
                <w:rStyle w:val="9"/>
                <w:rFonts w:hint="default" w:ascii="Times New Roman" w:hAnsi="Times New Roman" w:cs="Times New Roman"/>
                <w:color w:val="auto"/>
                <w:sz w:val="21"/>
                <w:szCs w:val="21"/>
                <w:lang w:bidi="ar"/>
              </w:rPr>
              <w:t>），构建数据质量与应用价值双维评价框架，明确</w:t>
            </w:r>
            <w:r>
              <w:rPr>
                <w:rStyle w:val="10"/>
                <w:color w:val="auto"/>
                <w:sz w:val="21"/>
                <w:szCs w:val="21"/>
                <w:lang w:bidi="ar"/>
              </w:rPr>
              <w:t>7</w:t>
            </w:r>
            <w:r>
              <w:rPr>
                <w:rStyle w:val="9"/>
                <w:rFonts w:hint="default" w:ascii="Times New Roman" w:hAnsi="Times New Roman" w:cs="Times New Roman"/>
                <w:color w:val="auto"/>
                <w:sz w:val="21"/>
                <w:szCs w:val="21"/>
                <w:lang w:bidi="ar"/>
              </w:rPr>
              <w:t>个数据质量维度和</w:t>
            </w:r>
            <w:r>
              <w:rPr>
                <w:rStyle w:val="10"/>
                <w:color w:val="auto"/>
                <w:sz w:val="21"/>
                <w:szCs w:val="21"/>
                <w:lang w:bidi="ar"/>
              </w:rPr>
              <w:t>3</w:t>
            </w:r>
            <w:r>
              <w:rPr>
                <w:rStyle w:val="9"/>
                <w:rFonts w:hint="default" w:ascii="Times New Roman" w:hAnsi="Times New Roman" w:cs="Times New Roman"/>
                <w:color w:val="auto"/>
                <w:sz w:val="21"/>
                <w:szCs w:val="21"/>
                <w:lang w:bidi="ar"/>
              </w:rPr>
              <w:t>个应用价值维度共</w:t>
            </w:r>
            <w:r>
              <w:rPr>
                <w:rStyle w:val="10"/>
                <w:color w:val="auto"/>
                <w:sz w:val="21"/>
                <w:szCs w:val="21"/>
                <w:lang w:bidi="ar"/>
              </w:rPr>
              <w:t>22</w:t>
            </w:r>
            <w:r>
              <w:rPr>
                <w:rStyle w:val="9"/>
                <w:rFonts w:hint="default" w:ascii="Times New Roman" w:hAnsi="Times New Roman" w:cs="Times New Roman"/>
                <w:color w:val="auto"/>
                <w:sz w:val="21"/>
                <w:szCs w:val="21"/>
                <w:lang w:bidi="ar"/>
              </w:rPr>
              <w:t>项评价指标，规范评价准备、评价实施、评价报告及应用全流程要求。依托该标准，面向社会开展数据资产登记评价服务，将评价报告作为数据资产确认和数据资产评估的支撑依据，服务企业数据资产入表、入股和融资，让数据资产价值评价有标可依、有据可查，形成标准研制、试验验证、服务应用、宣贯推广的完整闭环。</w:t>
            </w:r>
          </w:p>
        </w:tc>
      </w:tr>
      <w:tr w14:paraId="72A0C7D5">
        <w:tblPrEx>
          <w:tblCellMar>
            <w:top w:w="0" w:type="dxa"/>
            <w:left w:w="108" w:type="dxa"/>
            <w:bottom w:w="0" w:type="dxa"/>
            <w:right w:w="108" w:type="dxa"/>
          </w:tblCellMar>
        </w:tblPrEx>
        <w:trPr>
          <w:cantSplit/>
          <w:trHeight w:val="2873"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D748">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23</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37C3">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构建海洋监测数据标准规范，引领海洋环境预警预报精准落地</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6E58">
            <w:pPr>
              <w:widowControl/>
              <w:spacing w:line="360" w:lineRule="exact"/>
              <w:jc w:val="center"/>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山东蓝色海洋科技股份有限公司</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C167">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山东蓝色海洋科技公司联合中国科学院海洋研究所等单位，编制了数字山东技术规范《海洋环境监测数据处理与分析技术规范》（</w:t>
            </w:r>
            <w:r>
              <w:rPr>
                <w:rStyle w:val="10"/>
                <w:color w:val="auto"/>
                <w:sz w:val="21"/>
                <w:szCs w:val="21"/>
                <w:lang w:bidi="ar"/>
              </w:rPr>
              <w:t>SZSD 0020—2026</w:t>
            </w:r>
            <w:r>
              <w:rPr>
                <w:rStyle w:val="9"/>
                <w:rFonts w:hint="default" w:ascii="Times New Roman" w:hAnsi="Times New Roman" w:cs="Times New Roman"/>
                <w:color w:val="auto"/>
                <w:sz w:val="21"/>
                <w:szCs w:val="21"/>
                <w:lang w:bidi="ar"/>
              </w:rPr>
              <w:t>），围绕海洋环境监测数据全生命周期，构建接收登记、清洗预处理、质量控制、标准化入库、时空挖掘、可视化表达、报告编制、归档交付等八大核心作业规程。标准应用后，海洋数据预处理与综合报告编制周期缩短</w:t>
            </w:r>
            <w:r>
              <w:rPr>
                <w:rStyle w:val="10"/>
                <w:color w:val="auto"/>
                <w:sz w:val="21"/>
                <w:szCs w:val="21"/>
                <w:lang w:bidi="ar"/>
              </w:rPr>
              <w:t>60%</w:t>
            </w:r>
            <w:r>
              <w:rPr>
                <w:rStyle w:val="9"/>
                <w:rFonts w:hint="default" w:ascii="Times New Roman" w:hAnsi="Times New Roman" w:cs="Times New Roman"/>
                <w:color w:val="auto"/>
                <w:sz w:val="21"/>
                <w:szCs w:val="21"/>
                <w:lang w:bidi="ar"/>
              </w:rPr>
              <w:t>以上、人力成本节约</w:t>
            </w:r>
            <w:r>
              <w:rPr>
                <w:rStyle w:val="10"/>
                <w:color w:val="auto"/>
                <w:sz w:val="21"/>
                <w:szCs w:val="21"/>
                <w:lang w:bidi="ar"/>
              </w:rPr>
              <w:t>30%</w:t>
            </w:r>
            <w:r>
              <w:rPr>
                <w:rStyle w:val="9"/>
                <w:rFonts w:hint="default" w:ascii="Times New Roman" w:hAnsi="Times New Roman" w:cs="Times New Roman"/>
                <w:color w:val="auto"/>
                <w:sz w:val="21"/>
                <w:szCs w:val="21"/>
                <w:lang w:bidi="ar"/>
              </w:rPr>
              <w:t>以上、异常数据识别准确率超</w:t>
            </w:r>
            <w:r>
              <w:rPr>
                <w:rStyle w:val="10"/>
                <w:color w:val="auto"/>
                <w:sz w:val="21"/>
                <w:szCs w:val="21"/>
                <w:lang w:bidi="ar"/>
              </w:rPr>
              <w:t>99%</w:t>
            </w:r>
            <w:r>
              <w:rPr>
                <w:rStyle w:val="9"/>
                <w:rFonts w:hint="default" w:ascii="Times New Roman" w:hAnsi="Times New Roman" w:cs="Times New Roman"/>
                <w:color w:val="auto"/>
                <w:sz w:val="21"/>
                <w:szCs w:val="21"/>
                <w:lang w:bidi="ar"/>
              </w:rPr>
              <w:t>，通过灾害精准预警减少近海养殖经济损失近</w:t>
            </w:r>
            <w:r>
              <w:rPr>
                <w:rStyle w:val="10"/>
                <w:color w:val="auto"/>
                <w:sz w:val="21"/>
                <w:szCs w:val="21"/>
                <w:lang w:bidi="ar"/>
              </w:rPr>
              <w:t>50%</w:t>
            </w:r>
            <w:r>
              <w:rPr>
                <w:rStyle w:val="9"/>
                <w:rFonts w:hint="eastAsia" w:ascii="Times New Roman" w:hAnsi="Times New Roman" w:cs="Times New Roman"/>
                <w:color w:val="auto"/>
                <w:sz w:val="21"/>
                <w:szCs w:val="21"/>
                <w:lang w:eastAsia="zh-CN" w:bidi="ar"/>
              </w:rPr>
              <w:t>。</w:t>
            </w:r>
            <w:r>
              <w:rPr>
                <w:rStyle w:val="9"/>
                <w:rFonts w:hint="default" w:ascii="Times New Roman" w:hAnsi="Times New Roman" w:cs="Times New Roman"/>
                <w:color w:val="auto"/>
                <w:sz w:val="21"/>
                <w:szCs w:val="21"/>
                <w:lang w:bidi="ar"/>
              </w:rPr>
              <w:t>同时，在芙蓉岛国家级海洋牧场示范区推广</w:t>
            </w:r>
            <w:r>
              <w:rPr>
                <w:rStyle w:val="10"/>
                <w:color w:val="auto"/>
                <w:sz w:val="21"/>
                <w:szCs w:val="21"/>
                <w:lang w:bidi="ar"/>
              </w:rPr>
              <w:t>1</w:t>
            </w:r>
            <w:r>
              <w:rPr>
                <w:rStyle w:val="9"/>
                <w:rFonts w:hint="default" w:ascii="Times New Roman" w:hAnsi="Times New Roman" w:cs="Times New Roman"/>
                <w:color w:val="auto"/>
                <w:sz w:val="21"/>
                <w:szCs w:val="21"/>
                <w:lang w:bidi="ar"/>
              </w:rPr>
              <w:t>万亩，累计综合效益超</w:t>
            </w:r>
            <w:r>
              <w:rPr>
                <w:rStyle w:val="10"/>
                <w:color w:val="auto"/>
                <w:sz w:val="21"/>
                <w:szCs w:val="21"/>
                <w:lang w:bidi="ar"/>
              </w:rPr>
              <w:t>300</w:t>
            </w:r>
            <w:r>
              <w:rPr>
                <w:rStyle w:val="9"/>
                <w:rFonts w:hint="default" w:ascii="Times New Roman" w:hAnsi="Times New Roman" w:cs="Times New Roman"/>
                <w:color w:val="auto"/>
                <w:sz w:val="21"/>
                <w:szCs w:val="21"/>
                <w:lang w:bidi="ar"/>
              </w:rPr>
              <w:t>万元，生物量提升</w:t>
            </w:r>
            <w:r>
              <w:rPr>
                <w:rStyle w:val="10"/>
                <w:color w:val="auto"/>
                <w:sz w:val="21"/>
                <w:szCs w:val="21"/>
                <w:lang w:bidi="ar"/>
              </w:rPr>
              <w:t>18%</w:t>
            </w:r>
            <w:r>
              <w:rPr>
                <w:rStyle w:val="9"/>
                <w:rFonts w:hint="default" w:ascii="Times New Roman" w:hAnsi="Times New Roman" w:cs="Times New Roman"/>
                <w:color w:val="auto"/>
                <w:sz w:val="21"/>
                <w:szCs w:val="21"/>
                <w:lang w:bidi="ar"/>
              </w:rPr>
              <w:t>、海珍品产量增长</w:t>
            </w:r>
            <w:r>
              <w:rPr>
                <w:rStyle w:val="10"/>
                <w:color w:val="auto"/>
                <w:sz w:val="21"/>
                <w:szCs w:val="21"/>
                <w:lang w:bidi="ar"/>
              </w:rPr>
              <w:t>14%</w:t>
            </w:r>
            <w:r>
              <w:rPr>
                <w:rStyle w:val="9"/>
                <w:rFonts w:hint="default" w:ascii="Times New Roman" w:hAnsi="Times New Roman" w:cs="Times New Roman"/>
                <w:color w:val="auto"/>
                <w:sz w:val="21"/>
                <w:szCs w:val="21"/>
                <w:lang w:bidi="ar"/>
              </w:rPr>
              <w:t>。</w:t>
            </w:r>
          </w:p>
        </w:tc>
      </w:tr>
      <w:tr w14:paraId="5CFD6410">
        <w:tblPrEx>
          <w:tblCellMar>
            <w:top w:w="0" w:type="dxa"/>
            <w:left w:w="108" w:type="dxa"/>
            <w:bottom w:w="0" w:type="dxa"/>
            <w:right w:w="108" w:type="dxa"/>
          </w:tblCellMar>
        </w:tblPrEx>
        <w:trPr>
          <w:cantSplit/>
          <w:trHeight w:val="2291"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EDA9">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24</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CFF06">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标准规范工业数据标注，赋能产业数字化转型</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AF30">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数智云链（山东）科技服务有限公司</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A528">
            <w:pPr>
              <w:widowControl/>
              <w:spacing w:line="360" w:lineRule="exact"/>
              <w:textAlignment w:val="center"/>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针对工业数据标注无标可依、数据质量参差不齐、专业人才稀缺等问题，数智云链（山东）科技服务有限公司以</w:t>
            </w:r>
            <w:r>
              <w:rPr>
                <w:rStyle w:val="10"/>
                <w:color w:val="auto"/>
                <w:sz w:val="21"/>
                <w:szCs w:val="21"/>
                <w:lang w:bidi="ar"/>
              </w:rPr>
              <w:t>“</w:t>
            </w:r>
            <w:r>
              <w:rPr>
                <w:rStyle w:val="9"/>
                <w:rFonts w:hint="default" w:ascii="Times New Roman" w:hAnsi="Times New Roman" w:cs="Times New Roman"/>
                <w:color w:val="auto"/>
                <w:sz w:val="21"/>
                <w:szCs w:val="21"/>
                <w:lang w:bidi="ar"/>
              </w:rPr>
              <w:t>标准引领、实践验证</w:t>
            </w:r>
            <w:r>
              <w:rPr>
                <w:rStyle w:val="10"/>
                <w:color w:val="auto"/>
                <w:sz w:val="21"/>
                <w:szCs w:val="21"/>
                <w:lang w:bidi="ar"/>
              </w:rPr>
              <w:t>”</w:t>
            </w:r>
            <w:r>
              <w:rPr>
                <w:rStyle w:val="9"/>
                <w:rFonts w:hint="default" w:ascii="Times New Roman" w:hAnsi="Times New Roman" w:cs="Times New Roman"/>
                <w:color w:val="auto"/>
                <w:sz w:val="21"/>
                <w:szCs w:val="21"/>
                <w:lang w:bidi="ar"/>
              </w:rPr>
              <w:t>为主线开展标准化工作。应用国家标准《人工智能面向机器学习的数据标注规程》（</w:t>
            </w:r>
            <w:r>
              <w:rPr>
                <w:rStyle w:val="10"/>
                <w:color w:val="auto"/>
                <w:sz w:val="21"/>
                <w:szCs w:val="21"/>
                <w:lang w:bidi="ar"/>
              </w:rPr>
              <w:t>GB/T 42755—2023</w:t>
            </w:r>
            <w:r>
              <w:rPr>
                <w:rStyle w:val="9"/>
                <w:rFonts w:hint="default" w:ascii="Times New Roman" w:hAnsi="Times New Roman" w:cs="Times New Roman"/>
                <w:color w:val="auto"/>
                <w:sz w:val="21"/>
                <w:szCs w:val="21"/>
                <w:lang w:bidi="ar"/>
              </w:rPr>
              <w:t>），建立全流程标注作业体系。参编国内首部</w:t>
            </w:r>
            <w:r>
              <w:rPr>
                <w:rStyle w:val="10"/>
                <w:color w:val="auto"/>
                <w:sz w:val="21"/>
                <w:szCs w:val="21"/>
                <w:lang w:bidi="ar"/>
              </w:rPr>
              <w:t>AI</w:t>
            </w:r>
            <w:r>
              <w:rPr>
                <w:rStyle w:val="9"/>
                <w:rFonts w:hint="default" w:ascii="Times New Roman" w:hAnsi="Times New Roman" w:cs="Times New Roman"/>
                <w:color w:val="auto"/>
                <w:sz w:val="21"/>
                <w:szCs w:val="21"/>
                <w:lang w:bidi="ar"/>
              </w:rPr>
              <w:t>数据标注合规团体标准《面向人工智能的数据标注合规指南》（</w:t>
            </w:r>
            <w:r>
              <w:rPr>
                <w:rStyle w:val="10"/>
                <w:color w:val="auto"/>
                <w:sz w:val="21"/>
                <w:szCs w:val="21"/>
                <w:lang w:bidi="ar"/>
              </w:rPr>
              <w:t>T/CECC 46—2025</w:t>
            </w:r>
            <w:r>
              <w:rPr>
                <w:rStyle w:val="9"/>
                <w:rFonts w:hint="default" w:ascii="Times New Roman" w:hAnsi="Times New Roman" w:cs="Times New Roman"/>
                <w:color w:val="auto"/>
                <w:sz w:val="21"/>
                <w:szCs w:val="21"/>
                <w:lang w:bidi="ar"/>
              </w:rPr>
              <w:t>），融合</w:t>
            </w:r>
            <w:r>
              <w:rPr>
                <w:rStyle w:val="10"/>
                <w:color w:val="auto"/>
                <w:sz w:val="21"/>
                <w:szCs w:val="21"/>
                <w:lang w:bidi="ar"/>
              </w:rPr>
              <w:t>DCMM</w:t>
            </w:r>
            <w:r>
              <w:rPr>
                <w:rStyle w:val="9"/>
                <w:rFonts w:hint="default" w:ascii="Times New Roman" w:hAnsi="Times New Roman" w:cs="Times New Roman"/>
                <w:color w:val="auto"/>
                <w:sz w:val="21"/>
                <w:szCs w:val="21"/>
                <w:lang w:bidi="ar"/>
              </w:rPr>
              <w:t>和数据质量评价标准，保障数据集质量。参与建设</w:t>
            </w:r>
            <w:r>
              <w:rPr>
                <w:rStyle w:val="10"/>
                <w:color w:val="auto"/>
                <w:sz w:val="21"/>
                <w:szCs w:val="21"/>
                <w:lang w:bidi="ar"/>
              </w:rPr>
              <w:t>“</w:t>
            </w:r>
            <w:r>
              <w:rPr>
                <w:rStyle w:val="9"/>
                <w:rFonts w:hint="default" w:ascii="Times New Roman" w:hAnsi="Times New Roman" w:cs="Times New Roman"/>
                <w:color w:val="auto"/>
                <w:sz w:val="21"/>
                <w:szCs w:val="21"/>
                <w:lang w:bidi="ar"/>
              </w:rPr>
              <w:t>单晶硅传感器全流程工艺质量控制</w:t>
            </w:r>
            <w:r>
              <w:rPr>
                <w:rStyle w:val="10"/>
                <w:color w:val="auto"/>
                <w:sz w:val="21"/>
                <w:szCs w:val="21"/>
                <w:lang w:bidi="ar"/>
              </w:rPr>
              <w:t>”</w:t>
            </w:r>
            <w:r>
              <w:rPr>
                <w:rStyle w:val="9"/>
                <w:rFonts w:hint="default" w:ascii="Times New Roman" w:hAnsi="Times New Roman" w:cs="Times New Roman"/>
                <w:color w:val="auto"/>
                <w:sz w:val="21"/>
                <w:szCs w:val="21"/>
                <w:lang w:bidi="ar"/>
              </w:rPr>
              <w:t>高质量数据集，自研智能标注工具，使单张图像标注耗时降低</w:t>
            </w:r>
            <w:r>
              <w:rPr>
                <w:rStyle w:val="10"/>
                <w:color w:val="auto"/>
                <w:sz w:val="21"/>
                <w:szCs w:val="21"/>
                <w:lang w:bidi="ar"/>
              </w:rPr>
              <w:t>86%</w:t>
            </w:r>
            <w:r>
              <w:rPr>
                <w:rStyle w:val="9"/>
                <w:rFonts w:hint="default" w:ascii="Times New Roman" w:hAnsi="Times New Roman" w:cs="Times New Roman"/>
                <w:color w:val="auto"/>
                <w:sz w:val="21"/>
                <w:szCs w:val="21"/>
                <w:lang w:bidi="ar"/>
              </w:rPr>
              <w:t>、人力成本降低</w:t>
            </w:r>
            <w:r>
              <w:rPr>
                <w:rStyle w:val="10"/>
                <w:color w:val="auto"/>
                <w:sz w:val="21"/>
                <w:szCs w:val="21"/>
                <w:lang w:bidi="ar"/>
              </w:rPr>
              <w:t>50%</w:t>
            </w:r>
            <w:r>
              <w:rPr>
                <w:rStyle w:val="9"/>
                <w:rFonts w:hint="default" w:ascii="Times New Roman" w:hAnsi="Times New Roman" w:cs="Times New Roman"/>
                <w:color w:val="auto"/>
                <w:sz w:val="21"/>
                <w:szCs w:val="21"/>
                <w:lang w:bidi="ar"/>
              </w:rPr>
              <w:t>以上，形成可复制的数据标注标准化工作路径。</w:t>
            </w:r>
          </w:p>
        </w:tc>
      </w:tr>
      <w:tr w14:paraId="5706771C">
        <w:tblPrEx>
          <w:tblCellMar>
            <w:top w:w="0" w:type="dxa"/>
            <w:left w:w="108" w:type="dxa"/>
            <w:bottom w:w="0" w:type="dxa"/>
            <w:right w:w="108" w:type="dxa"/>
          </w:tblCellMar>
        </w:tblPrEx>
        <w:trPr>
          <w:cantSplit/>
          <w:trHeight w:val="2291"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902C">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25</w:t>
            </w:r>
          </w:p>
        </w:tc>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CAF2">
            <w:pPr>
              <w:widowControl/>
              <w:spacing w:line="360" w:lineRule="exact"/>
              <w:jc w:val="left"/>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标准引领数智建设</w:t>
            </w:r>
            <w:r>
              <w:rPr>
                <w:rStyle w:val="9"/>
                <w:rFonts w:hint="default" w:ascii="Times New Roman" w:hAnsi="Times New Roman" w:cs="Times New Roman"/>
                <w:color w:val="auto"/>
                <w:sz w:val="21"/>
                <w:szCs w:val="21"/>
                <w:lang w:bidi="ar"/>
              </w:rPr>
              <w:t>——</w:t>
            </w:r>
            <w:r>
              <w:rPr>
                <w:rFonts w:ascii="Times New Roman" w:hAnsi="Times New Roman" w:cs="Times New Roman"/>
                <w:color w:val="auto"/>
                <w:kern w:val="0"/>
                <w:sz w:val="21"/>
                <w:szCs w:val="21"/>
                <w:lang w:bidi="ar"/>
              </w:rPr>
              <w:t>京博石化建设国家级智能工厂实践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7E54">
            <w:pPr>
              <w:widowControl/>
              <w:spacing w:line="360" w:lineRule="exact"/>
              <w:jc w:val="center"/>
              <w:textAlignment w:val="center"/>
              <w:rPr>
                <w:rFonts w:ascii="Times New Roman" w:hAnsi="Times New Roman" w:cs="Times New Roman"/>
                <w:color w:val="auto"/>
                <w:sz w:val="21"/>
                <w:szCs w:val="21"/>
              </w:rPr>
            </w:pPr>
            <w:r>
              <w:rPr>
                <w:rFonts w:ascii="Times New Roman" w:hAnsi="Times New Roman" w:cs="Times New Roman"/>
                <w:color w:val="auto"/>
                <w:kern w:val="0"/>
                <w:sz w:val="21"/>
                <w:szCs w:val="21"/>
                <w:lang w:bidi="ar"/>
              </w:rPr>
              <w:t>山东京博石油化工有限公司</w:t>
            </w:r>
          </w:p>
        </w:tc>
        <w:tc>
          <w:tcPr>
            <w:tcW w:w="8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EE61">
            <w:pPr>
              <w:widowControl/>
              <w:spacing w:line="360" w:lineRule="exact"/>
              <w:textAlignment w:val="top"/>
              <w:rPr>
                <w:rFonts w:ascii="Times New Roman" w:hAnsi="Times New Roman" w:cs="Times New Roman"/>
                <w:color w:val="auto"/>
                <w:sz w:val="21"/>
                <w:szCs w:val="21"/>
              </w:rPr>
            </w:pPr>
            <w:r>
              <w:rPr>
                <w:rStyle w:val="9"/>
                <w:rFonts w:hint="default" w:ascii="Times New Roman" w:hAnsi="Times New Roman" w:cs="Times New Roman"/>
                <w:color w:val="auto"/>
                <w:sz w:val="21"/>
                <w:szCs w:val="21"/>
                <w:lang w:bidi="ar"/>
              </w:rPr>
              <w:t>山东京博石油化工有限公司主导并参与制定</w:t>
            </w:r>
            <w:r>
              <w:rPr>
                <w:rStyle w:val="10"/>
                <w:color w:val="auto"/>
                <w:sz w:val="21"/>
                <w:szCs w:val="21"/>
                <w:lang w:bidi="ar"/>
              </w:rPr>
              <w:t>36</w:t>
            </w:r>
            <w:r>
              <w:rPr>
                <w:rStyle w:val="9"/>
                <w:rFonts w:hint="default" w:ascii="Times New Roman" w:hAnsi="Times New Roman" w:cs="Times New Roman"/>
                <w:color w:val="auto"/>
                <w:sz w:val="21"/>
                <w:szCs w:val="21"/>
                <w:lang w:bidi="ar"/>
              </w:rPr>
              <w:t>项国家标准、</w:t>
            </w:r>
            <w:r>
              <w:rPr>
                <w:rStyle w:val="10"/>
                <w:color w:val="auto"/>
                <w:sz w:val="21"/>
                <w:szCs w:val="21"/>
                <w:lang w:bidi="ar"/>
              </w:rPr>
              <w:t>20</w:t>
            </w:r>
            <w:r>
              <w:rPr>
                <w:rStyle w:val="9"/>
                <w:rFonts w:hint="default" w:ascii="Times New Roman" w:hAnsi="Times New Roman" w:cs="Times New Roman"/>
                <w:color w:val="auto"/>
                <w:sz w:val="21"/>
                <w:szCs w:val="21"/>
                <w:lang w:bidi="ar"/>
              </w:rPr>
              <w:t>项行业标准。其中，牵头发布团体标准《石化智能制造原油炼化智能工厂通用要求》（</w:t>
            </w:r>
            <w:r>
              <w:rPr>
                <w:rStyle w:val="10"/>
                <w:color w:val="auto"/>
                <w:sz w:val="21"/>
                <w:szCs w:val="21"/>
                <w:lang w:bidi="ar"/>
              </w:rPr>
              <w:t>T/SDAS463—2022</w:t>
            </w:r>
            <w:r>
              <w:rPr>
                <w:rStyle w:val="9"/>
                <w:rFonts w:hint="default" w:ascii="Times New Roman" w:hAnsi="Times New Roman" w:cs="Times New Roman"/>
                <w:color w:val="auto"/>
                <w:sz w:val="21"/>
                <w:szCs w:val="21"/>
                <w:lang w:bidi="ar"/>
              </w:rPr>
              <w:t>），参编团体标准《企业数字化建设评价指南》（</w:t>
            </w:r>
            <w:r>
              <w:rPr>
                <w:rStyle w:val="10"/>
                <w:color w:val="auto"/>
                <w:sz w:val="21"/>
                <w:szCs w:val="21"/>
                <w:lang w:bidi="ar"/>
              </w:rPr>
              <w:t>T/CERDS15—2024</w:t>
            </w:r>
            <w:r>
              <w:rPr>
                <w:rStyle w:val="9"/>
                <w:rFonts w:hint="default" w:ascii="Times New Roman" w:hAnsi="Times New Roman" w:cs="Times New Roman"/>
                <w:color w:val="auto"/>
                <w:sz w:val="21"/>
                <w:szCs w:val="21"/>
                <w:lang w:bidi="ar"/>
              </w:rPr>
              <w:t>），并发布</w:t>
            </w:r>
            <w:r>
              <w:rPr>
                <w:rStyle w:val="10"/>
                <w:color w:val="auto"/>
                <w:sz w:val="21"/>
                <w:szCs w:val="21"/>
                <w:lang w:bidi="ar"/>
              </w:rPr>
              <w:t>8</w:t>
            </w:r>
            <w:r>
              <w:rPr>
                <w:rStyle w:val="9"/>
                <w:rFonts w:hint="default" w:ascii="Times New Roman" w:hAnsi="Times New Roman" w:cs="Times New Roman"/>
                <w:color w:val="auto"/>
                <w:sz w:val="21"/>
                <w:szCs w:val="21"/>
                <w:lang w:bidi="ar"/>
              </w:rPr>
              <w:t>项核心企业标准，形成覆盖全业务流程的标准化管理规范。通过标准化建设应用，构建涵盖边缘基础设施层、数据层、能力层、应用层和决策层的五层智能工厂体系架构，解决智能工厂建设无统一架构参考的问题；建立数字化建设评价闭环，解决数字化建设成效评估缺乏系统化框架的问题。通过标准化引领，成功建成国家级智能工厂，有效提升了企业数字化、智能化水平。</w:t>
            </w:r>
          </w:p>
        </w:tc>
      </w:tr>
    </w:tbl>
    <w:p w14:paraId="72D0837D">
      <w:pPr>
        <w:pStyle w:val="2"/>
        <w:ind w:firstLine="0" w:firstLineChars="0"/>
        <w:rPr>
          <w:rFonts w:ascii="Times New Roman" w:hAnsi="Times New Roman" w:eastAsia="方正小标宋_GBK" w:cs="Times New Roman"/>
          <w:sz w:val="44"/>
          <w:szCs w:val="44"/>
        </w:rPr>
      </w:pPr>
    </w:p>
    <w:p w14:paraId="6460902E"/>
    <w:sectPr>
      <w:footerReference r:id="rId3" w:type="default"/>
      <w:footerReference r:id="rId4" w:type="even"/>
      <w:pgSz w:w="16838" w:h="11906" w:orient="landscape"/>
      <w:pgMar w:top="1588" w:right="2155" w:bottom="1474" w:left="2041"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5A37B">
    <w:pPr>
      <w:pStyle w:val="3"/>
      <w:jc w:val="right"/>
      <w:rPr>
        <w:rFonts w:ascii="Times New Roman" w:hAnsi="Times New Roman" w:eastAsia="仿宋" w:cs="Arial"/>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771D17">
                          <w:pPr>
                            <w:pStyle w:val="3"/>
                          </w:pPr>
                          <w:r>
                            <w:t xml:space="preserve">— </w:t>
                          </w:r>
                          <w:r>
                            <w:fldChar w:fldCharType="begin"/>
                          </w:r>
                          <w:r>
                            <w:instrText xml:space="preserve"> PAGE  \* MERGEFORMAT </w:instrText>
                          </w:r>
                          <w:r>
                            <w:fldChar w:fldCharType="separate"/>
                          </w:r>
                          <w:r>
                            <w:t>16</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4C771D17">
                    <w:pPr>
                      <w:pStyle w:val="3"/>
                    </w:pPr>
                    <w:r>
                      <w:t xml:space="preserve">— </w:t>
                    </w:r>
                    <w:r>
                      <w:fldChar w:fldCharType="begin"/>
                    </w:r>
                    <w:r>
                      <w:instrText xml:space="preserve"> PAGE  \* MERGEFORMAT </w:instrText>
                    </w:r>
                    <w:r>
                      <w:fldChar w:fldCharType="separate"/>
                    </w:r>
                    <w:r>
                      <w:t>16</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9753C">
    <w:pPr>
      <w:pStyle w:val="3"/>
      <w:rPr>
        <w:rFonts w:ascii="Times New Roman" w:hAnsi="Times New Roman" w:eastAsia="仿宋" w:cs="Arial"/>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AD8AE7">
                          <w:pPr>
                            <w:pStyle w:val="3"/>
                          </w:pPr>
                          <w:r>
                            <w:t xml:space="preserve">— </w:t>
                          </w:r>
                          <w:r>
                            <w:fldChar w:fldCharType="begin"/>
                          </w:r>
                          <w:r>
                            <w:instrText xml:space="preserve"> PAGE  \* MERGEFORMAT </w:instrText>
                          </w:r>
                          <w:r>
                            <w:fldChar w:fldCharType="separate"/>
                          </w:r>
                          <w:r>
                            <w:t>6</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34AD8AE7">
                    <w:pPr>
                      <w:pStyle w:val="3"/>
                    </w:pPr>
                    <w:r>
                      <w:t xml:space="preserve">— </w:t>
                    </w:r>
                    <w:r>
                      <w:fldChar w:fldCharType="begin"/>
                    </w:r>
                    <w:r>
                      <w:instrText xml:space="preserve"> PAGE  \* MERGEFORMAT </w:instrText>
                    </w:r>
                    <w:r>
                      <w:fldChar w:fldCharType="separate"/>
                    </w:r>
                    <w:r>
                      <w:t>6</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9F29EB"/>
    <w:rsid w:val="629F2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仿宋_GB2312"/>
      <w:kern w:val="2"/>
      <w:sz w:val="32"/>
      <w:szCs w:val="3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99"/>
    <w:pPr>
      <w:tabs>
        <w:tab w:val="center" w:pos="4153"/>
        <w:tab w:val="right" w:pos="8306"/>
      </w:tabs>
      <w:snapToGrid w:val="0"/>
      <w:jc w:val="left"/>
    </w:pPr>
    <w:rPr>
      <w:sz w:val="18"/>
    </w:rPr>
  </w:style>
  <w:style w:type="paragraph" w:styleId="4">
    <w:name w:val="Normal (Web)"/>
    <w:basedOn w:val="1"/>
    <w:unhideWhenUsed/>
    <w:qFormat/>
    <w:uiPriority w:val="99"/>
    <w:pPr>
      <w:widowControl/>
      <w:spacing w:before="100" w:beforeAutospacing="1" w:after="100" w:afterAutospacing="1"/>
      <w:jc w:val="left"/>
    </w:pPr>
    <w:rPr>
      <w:rFonts w:ascii="Times" w:hAnsi="Times"/>
      <w:kern w:val="0"/>
      <w:sz w:val="20"/>
      <w:szCs w:val="20"/>
      <w:lang w:val="fr-FR"/>
    </w:rPr>
  </w:style>
  <w:style w:type="character" w:customStyle="1" w:styleId="7">
    <w:name w:val="font51"/>
    <w:qFormat/>
    <w:uiPriority w:val="0"/>
    <w:rPr>
      <w:rFonts w:hint="eastAsia" w:ascii="仿宋_GB2312" w:eastAsia="仿宋_GB2312" w:cs="仿宋_GB2312"/>
      <w:color w:val="000000"/>
      <w:sz w:val="24"/>
      <w:szCs w:val="24"/>
      <w:u w:val="none"/>
    </w:rPr>
  </w:style>
  <w:style w:type="character" w:customStyle="1" w:styleId="8">
    <w:name w:val="font21"/>
    <w:basedOn w:val="6"/>
    <w:qFormat/>
    <w:uiPriority w:val="0"/>
    <w:rPr>
      <w:rFonts w:hint="eastAsia" w:ascii="仿宋_GB2312" w:eastAsia="仿宋_GB2312" w:cs="仿宋_GB2312"/>
      <w:color w:val="000000"/>
      <w:sz w:val="24"/>
      <w:szCs w:val="24"/>
      <w:u w:val="none"/>
    </w:rPr>
  </w:style>
  <w:style w:type="character" w:customStyle="1" w:styleId="9">
    <w:name w:val="font31"/>
    <w:qFormat/>
    <w:uiPriority w:val="0"/>
    <w:rPr>
      <w:rFonts w:hint="eastAsia" w:ascii="仿宋_GB2312" w:eastAsia="仿宋_GB2312" w:cs="仿宋_GB2312"/>
      <w:color w:val="000000"/>
      <w:sz w:val="24"/>
      <w:szCs w:val="24"/>
      <w:u w:val="none"/>
    </w:rPr>
  </w:style>
  <w:style w:type="character" w:customStyle="1" w:styleId="10">
    <w:name w:val="font41"/>
    <w:basedOn w:val="6"/>
    <w:qFormat/>
    <w:uiPriority w:val="0"/>
    <w:rPr>
      <w:rFonts w:hint="default" w:ascii="Times New Roman" w:hAnsi="Times New Roman" w:cs="Times New Roman"/>
      <w:color w:val="000000"/>
      <w:sz w:val="24"/>
      <w:szCs w:val="24"/>
      <w:u w:val="none"/>
    </w:rPr>
  </w:style>
  <w:style w:type="character" w:customStyle="1" w:styleId="11">
    <w:name w:val="font6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2026-10-16T06:58:00Z</dcterms:created>
  <dc:creator>石某</dc:creator>
  <cp:lastModifiedBy>石某</cp:lastModifiedBy>
  <dcterms:modified xsi:type="dcterms:W3CDTF">2026-10-16T06:59:11Z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04BFDD347C7542818980B949C0655A04_11</vt:lpwstr>
  </property>
  <property fmtid="{D5CDD505-2E9C-101B-9397-08002B2CF9AE}" pid="4" name="KSOTemplateDocerSaveRecord">
    <vt:lpwstr>eyJoZGlkIjoiYjkwY2FkMTkxZWUwMjJhYTY4NWZkNzMwN2VkODllYzkiLCJ1c2VySWQiOiI0NTczODYyNTgifQ==</vt:lpwstr>
  </property>
</Properties>
</file>